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06" w:rsidRDefault="002F0E5E" w:rsidP="004577CE">
      <w:pPr>
        <w:widowControl w:val="0"/>
        <w:spacing w:line="360" w:lineRule="auto"/>
        <w:rPr>
          <w:rFonts w:ascii="Times New Roman" w:hAnsi="Times New Roman" w:cs="Times New Roman"/>
          <w:lang w:val="uk-UA"/>
        </w:rPr>
      </w:pPr>
      <w:r>
        <w:rPr>
          <w:rFonts w:ascii="Times New Roman" w:hAnsi="Times New Roman" w:cs="Times New Roman"/>
          <w:lang w:val="uk-UA"/>
        </w:rPr>
        <w:t>Вейц Олександр, аспірант кафедри банківської справи</w:t>
      </w:r>
    </w:p>
    <w:p w:rsidR="002F0E5E" w:rsidRPr="00294BEC" w:rsidRDefault="002F0E5E" w:rsidP="004577CE">
      <w:pPr>
        <w:widowControl w:val="0"/>
        <w:spacing w:line="360" w:lineRule="auto"/>
        <w:rPr>
          <w:rFonts w:ascii="Times New Roman" w:hAnsi="Times New Roman" w:cs="Times New Roman"/>
          <w:i/>
          <w:spacing w:val="-6"/>
          <w:lang w:val="uk-UA"/>
        </w:rPr>
      </w:pPr>
      <w:r w:rsidRPr="00294BEC">
        <w:rPr>
          <w:rFonts w:ascii="Times New Roman" w:hAnsi="Times New Roman" w:cs="Times New Roman"/>
          <w:i/>
          <w:spacing w:val="-6"/>
          <w:lang w:val="uk-UA"/>
        </w:rPr>
        <w:t>Харківський національний економічний університет імені Семена Кузнеця, Україна</w:t>
      </w:r>
    </w:p>
    <w:p w:rsidR="002B1848" w:rsidRPr="002F0E5E" w:rsidRDefault="002B1848" w:rsidP="004577CE">
      <w:pPr>
        <w:widowControl w:val="0"/>
        <w:spacing w:line="360" w:lineRule="auto"/>
        <w:rPr>
          <w:rFonts w:ascii="Times New Roman" w:hAnsi="Times New Roman" w:cs="Times New Roman"/>
          <w:caps/>
          <w:lang w:val="uk-UA"/>
        </w:rPr>
      </w:pPr>
      <w:r w:rsidRPr="002F0E5E">
        <w:rPr>
          <w:rFonts w:ascii="Times New Roman" w:hAnsi="Times New Roman" w:cs="Times New Roman"/>
          <w:caps/>
          <w:lang w:val="uk-UA"/>
        </w:rPr>
        <w:t xml:space="preserve">Фактори легалізації злочинних доходів та їх врахування </w:t>
      </w:r>
      <w:r w:rsidRPr="002F0E5E">
        <w:rPr>
          <w:rFonts w:ascii="Times New Roman" w:hAnsi="Times New Roman" w:cs="Times New Roman"/>
          <w:caps/>
          <w:lang w:val="uk-UA"/>
        </w:rPr>
        <w:br/>
        <w:t>при здійсненні операцій клієнтів банків</w:t>
      </w:r>
    </w:p>
    <w:p w:rsidR="002B1848" w:rsidRDefault="002B1848" w:rsidP="004577CE">
      <w:pPr>
        <w:widowControl w:val="0"/>
        <w:spacing w:line="360" w:lineRule="auto"/>
        <w:rPr>
          <w:rFonts w:ascii="Times New Roman" w:hAnsi="Times New Roman" w:cs="Times New Roman"/>
          <w:lang w:val="uk-UA"/>
        </w:rPr>
      </w:pPr>
    </w:p>
    <w:p w:rsidR="00A9517E" w:rsidRDefault="002F0E5E" w:rsidP="004577CE">
      <w:pPr>
        <w:widowControl w:val="0"/>
        <w:spacing w:line="360" w:lineRule="auto"/>
        <w:rPr>
          <w:rFonts w:ascii="Times New Roman" w:hAnsi="Times New Roman" w:cs="Times New Roman"/>
          <w:lang w:val="en-US"/>
        </w:rPr>
      </w:pPr>
      <w:proofErr w:type="spellStart"/>
      <w:r w:rsidRPr="002F0E5E">
        <w:rPr>
          <w:rFonts w:ascii="Times New Roman" w:hAnsi="Times New Roman" w:cs="Times New Roman"/>
          <w:lang w:val="uk-UA"/>
        </w:rPr>
        <w:t>Veits</w:t>
      </w:r>
      <w:proofErr w:type="spellEnd"/>
      <w:r>
        <w:rPr>
          <w:rFonts w:ascii="Times New Roman" w:hAnsi="Times New Roman" w:cs="Times New Roman"/>
          <w:lang w:val="uk-UA"/>
        </w:rPr>
        <w:t xml:space="preserve"> </w:t>
      </w:r>
      <w:r>
        <w:rPr>
          <w:rFonts w:ascii="Times New Roman" w:hAnsi="Times New Roman" w:cs="Times New Roman"/>
          <w:lang w:val="en-US"/>
        </w:rPr>
        <w:t xml:space="preserve">Oleksandr, postgraduate student </w:t>
      </w:r>
      <w:r w:rsidR="00205C66">
        <w:rPr>
          <w:rFonts w:ascii="Times New Roman" w:hAnsi="Times New Roman" w:cs="Times New Roman"/>
          <w:lang w:val="en-US"/>
        </w:rPr>
        <w:t xml:space="preserve">of </w:t>
      </w:r>
      <w:r>
        <w:rPr>
          <w:rFonts w:ascii="Times New Roman" w:hAnsi="Times New Roman" w:cs="Times New Roman"/>
          <w:lang w:val="en-US"/>
        </w:rPr>
        <w:t>banking department</w:t>
      </w:r>
    </w:p>
    <w:p w:rsidR="002F0E5E" w:rsidRPr="0071667B" w:rsidRDefault="002B1848" w:rsidP="004577CE">
      <w:pPr>
        <w:widowControl w:val="0"/>
        <w:spacing w:line="360" w:lineRule="auto"/>
        <w:rPr>
          <w:rFonts w:ascii="Times New Roman" w:hAnsi="Times New Roman" w:cs="Times New Roman"/>
          <w:i/>
          <w:lang w:val="en-US"/>
        </w:rPr>
      </w:pPr>
      <w:r w:rsidRPr="0071667B">
        <w:rPr>
          <w:rFonts w:ascii="Times New Roman" w:hAnsi="Times New Roman" w:cs="Times New Roman"/>
          <w:i/>
          <w:lang w:val="en-US"/>
        </w:rPr>
        <w:t>Simo</w:t>
      </w:r>
      <w:r w:rsidR="002F0E5E" w:rsidRPr="0071667B">
        <w:rPr>
          <w:rFonts w:ascii="Times New Roman" w:hAnsi="Times New Roman" w:cs="Times New Roman"/>
          <w:i/>
          <w:lang w:val="en-US"/>
        </w:rPr>
        <w:t>n Kuznets Kharkiv National University of Economics</w:t>
      </w:r>
      <w:r w:rsidRPr="0071667B">
        <w:rPr>
          <w:rFonts w:ascii="Times New Roman" w:hAnsi="Times New Roman" w:cs="Times New Roman"/>
          <w:i/>
          <w:lang w:val="en-US"/>
        </w:rPr>
        <w:t>, Ukraine</w:t>
      </w:r>
    </w:p>
    <w:p w:rsidR="00537513" w:rsidRPr="0071667B" w:rsidRDefault="002B1848" w:rsidP="004577CE">
      <w:pPr>
        <w:widowControl w:val="0"/>
        <w:spacing w:line="360" w:lineRule="auto"/>
        <w:jc w:val="both"/>
        <w:rPr>
          <w:rFonts w:ascii="Times New Roman" w:hAnsi="Times New Roman" w:cs="Times New Roman"/>
          <w:caps/>
          <w:lang w:val="en-US"/>
        </w:rPr>
      </w:pPr>
      <w:r w:rsidRPr="0071667B">
        <w:rPr>
          <w:rFonts w:ascii="Times New Roman" w:hAnsi="Times New Roman" w:cs="Times New Roman"/>
          <w:caps/>
          <w:lang w:val="en-US"/>
        </w:rPr>
        <w:t xml:space="preserve">Money laundering Factors and their </w:t>
      </w:r>
      <w:r w:rsidR="0071667B" w:rsidRPr="0071667B">
        <w:rPr>
          <w:rFonts w:ascii="Times New Roman" w:hAnsi="Times New Roman" w:cs="Times New Roman"/>
          <w:caps/>
          <w:lang w:val="en-US"/>
        </w:rPr>
        <w:t xml:space="preserve">consideration IN BANK’S CLIENTS OPERATIONS </w:t>
      </w:r>
    </w:p>
    <w:p w:rsidR="002F0E5E" w:rsidRDefault="002F0E5E" w:rsidP="004577CE">
      <w:pPr>
        <w:widowControl w:val="0"/>
        <w:spacing w:line="360" w:lineRule="auto"/>
        <w:ind w:firstLine="709"/>
        <w:rPr>
          <w:rFonts w:ascii="Times New Roman" w:hAnsi="Times New Roman" w:cs="Times New Roman"/>
          <w:lang w:val="uk-UA"/>
        </w:rPr>
      </w:pPr>
    </w:p>
    <w:p w:rsidR="005A5CE5" w:rsidRPr="00205C66" w:rsidRDefault="00205C66" w:rsidP="004577CE">
      <w:pPr>
        <w:widowControl w:val="0"/>
        <w:spacing w:line="360" w:lineRule="auto"/>
        <w:ind w:firstLine="709"/>
        <w:jc w:val="both"/>
        <w:rPr>
          <w:rFonts w:ascii="Times New Roman" w:hAnsi="Times New Roman" w:cs="Times New Roman"/>
          <w:sz w:val="24"/>
          <w:szCs w:val="24"/>
          <w:lang w:val="uk-UA"/>
        </w:rPr>
      </w:pPr>
      <w:r w:rsidRPr="00205C66">
        <w:rPr>
          <w:rFonts w:ascii="Times New Roman" w:hAnsi="Times New Roman" w:cs="Times New Roman"/>
          <w:sz w:val="24"/>
          <w:szCs w:val="24"/>
          <w:lang w:val="uk-UA"/>
        </w:rPr>
        <w:t>Стаття присвячена</w:t>
      </w:r>
      <w:r w:rsidR="005A5CE5" w:rsidRPr="00205C66">
        <w:rPr>
          <w:rFonts w:ascii="Times New Roman" w:hAnsi="Times New Roman" w:cs="Times New Roman"/>
          <w:sz w:val="24"/>
          <w:szCs w:val="24"/>
          <w:lang w:val="uk-UA"/>
        </w:rPr>
        <w:t xml:space="preserve"> визначенн</w:t>
      </w:r>
      <w:r w:rsidRPr="00205C66">
        <w:rPr>
          <w:rFonts w:ascii="Times New Roman" w:hAnsi="Times New Roman" w:cs="Times New Roman"/>
          <w:sz w:val="24"/>
          <w:szCs w:val="24"/>
          <w:lang w:val="uk-UA"/>
        </w:rPr>
        <w:t>ю, групуванню</w:t>
      </w:r>
      <w:r w:rsidR="005A5CE5" w:rsidRPr="00205C66">
        <w:rPr>
          <w:rFonts w:ascii="Times New Roman" w:hAnsi="Times New Roman" w:cs="Times New Roman"/>
          <w:sz w:val="24"/>
          <w:szCs w:val="24"/>
          <w:lang w:val="uk-UA"/>
        </w:rPr>
        <w:t xml:space="preserve"> та аналіз</w:t>
      </w:r>
      <w:r w:rsidRPr="00205C66">
        <w:rPr>
          <w:rFonts w:ascii="Times New Roman" w:hAnsi="Times New Roman" w:cs="Times New Roman"/>
          <w:sz w:val="24"/>
          <w:szCs w:val="24"/>
          <w:lang w:val="uk-UA"/>
        </w:rPr>
        <w:t>у</w:t>
      </w:r>
      <w:r w:rsidR="005A5CE5" w:rsidRPr="00205C66">
        <w:rPr>
          <w:rFonts w:ascii="Times New Roman" w:hAnsi="Times New Roman" w:cs="Times New Roman"/>
          <w:sz w:val="24"/>
          <w:szCs w:val="24"/>
          <w:lang w:val="uk-UA"/>
        </w:rPr>
        <w:t xml:space="preserve"> факторів легалізації злочинних доходів, пошук</w:t>
      </w:r>
      <w:r w:rsidRPr="00205C66">
        <w:rPr>
          <w:rFonts w:ascii="Times New Roman" w:hAnsi="Times New Roman" w:cs="Times New Roman"/>
          <w:sz w:val="24"/>
          <w:szCs w:val="24"/>
          <w:lang w:val="uk-UA"/>
        </w:rPr>
        <w:t>у</w:t>
      </w:r>
      <w:r w:rsidR="005A5CE5" w:rsidRPr="00205C66">
        <w:rPr>
          <w:rFonts w:ascii="Times New Roman" w:hAnsi="Times New Roman" w:cs="Times New Roman"/>
          <w:sz w:val="24"/>
          <w:szCs w:val="24"/>
          <w:lang w:val="uk-UA"/>
        </w:rPr>
        <w:t xml:space="preserve"> релевантних показників, за допомогою яких ці фактори можна вимі</w:t>
      </w:r>
      <w:r w:rsidRPr="00205C66">
        <w:rPr>
          <w:rFonts w:ascii="Times New Roman" w:hAnsi="Times New Roman" w:cs="Times New Roman"/>
          <w:sz w:val="24"/>
          <w:szCs w:val="24"/>
          <w:lang w:val="uk-UA"/>
        </w:rPr>
        <w:t>ряти або оцінити, та розробленню</w:t>
      </w:r>
      <w:r w:rsidR="005A5CE5" w:rsidRPr="00205C66">
        <w:rPr>
          <w:rFonts w:ascii="Times New Roman" w:hAnsi="Times New Roman" w:cs="Times New Roman"/>
          <w:sz w:val="24"/>
          <w:szCs w:val="24"/>
          <w:lang w:val="uk-UA"/>
        </w:rPr>
        <w:t xml:space="preserve"> пропозицій щодо врахування їх впливу при здійсненні операцій клієнтів банків. </w:t>
      </w:r>
      <w:r w:rsidRPr="00205C66">
        <w:rPr>
          <w:rFonts w:ascii="Times New Roman" w:hAnsi="Times New Roman" w:cs="Times New Roman"/>
          <w:sz w:val="24"/>
          <w:szCs w:val="24"/>
          <w:lang w:val="uk-UA"/>
        </w:rPr>
        <w:t>З</w:t>
      </w:r>
      <w:r w:rsidR="005A5CE5" w:rsidRPr="00205C66">
        <w:rPr>
          <w:rFonts w:ascii="Times New Roman" w:hAnsi="Times New Roman" w:cs="Times New Roman"/>
          <w:sz w:val="24"/>
          <w:szCs w:val="24"/>
          <w:lang w:val="uk-UA"/>
        </w:rPr>
        <w:t xml:space="preserve">апропоновано групування факторів відмивання грошей з виділенням підгруп у межах загальноприйнятого підходу. У групі географічних факторів або факторів країни виокремлено групу економічних, політичних та нормативно-правових факторів. </w:t>
      </w:r>
      <w:r w:rsidRPr="00205C66">
        <w:rPr>
          <w:rFonts w:ascii="Times New Roman" w:hAnsi="Times New Roman" w:cs="Times New Roman"/>
          <w:sz w:val="24"/>
          <w:szCs w:val="24"/>
          <w:lang w:val="uk-UA"/>
        </w:rPr>
        <w:t>Визначено та проаналізовано п</w:t>
      </w:r>
      <w:r w:rsidR="005A5CE5" w:rsidRPr="00205C66">
        <w:rPr>
          <w:rFonts w:ascii="Times New Roman" w:hAnsi="Times New Roman" w:cs="Times New Roman"/>
          <w:sz w:val="24"/>
          <w:szCs w:val="24"/>
          <w:lang w:val="uk-UA"/>
        </w:rPr>
        <w:t>оказниками, які допомагають проаналізувати та оцінити суттєвість впливу геогр</w:t>
      </w:r>
      <w:r w:rsidRPr="00205C66">
        <w:rPr>
          <w:rFonts w:ascii="Times New Roman" w:hAnsi="Times New Roman" w:cs="Times New Roman"/>
          <w:sz w:val="24"/>
          <w:szCs w:val="24"/>
          <w:lang w:val="uk-UA"/>
        </w:rPr>
        <w:t>афічних факторів</w:t>
      </w:r>
      <w:r w:rsidR="005A5CE5" w:rsidRPr="00205C66">
        <w:rPr>
          <w:rFonts w:ascii="Times New Roman" w:hAnsi="Times New Roman" w:cs="Times New Roman"/>
          <w:sz w:val="24"/>
          <w:szCs w:val="24"/>
          <w:lang w:val="uk-UA"/>
        </w:rPr>
        <w:t xml:space="preserve">. Групу клієнтських факторів поділено на такі, що відносяться до юридичних осіб та фізичних осіб – клієнтів </w:t>
      </w:r>
      <w:r w:rsidRPr="00205C66">
        <w:rPr>
          <w:rFonts w:ascii="Times New Roman" w:hAnsi="Times New Roman" w:cs="Times New Roman"/>
          <w:sz w:val="24"/>
          <w:szCs w:val="24"/>
          <w:lang w:val="uk-UA"/>
        </w:rPr>
        <w:t xml:space="preserve">банків, а </w:t>
      </w:r>
      <w:r w:rsidR="005A5CE5" w:rsidRPr="00205C66">
        <w:rPr>
          <w:rFonts w:ascii="Times New Roman" w:hAnsi="Times New Roman" w:cs="Times New Roman"/>
          <w:sz w:val="24"/>
          <w:szCs w:val="24"/>
          <w:lang w:val="uk-UA"/>
        </w:rPr>
        <w:t>сукупність продуктових факторів утворюють дві підгрупи – фактори, пов’язані з операціями клієнтів в межах легальної економіки, та фактори</w:t>
      </w:r>
      <w:r w:rsidRPr="00205C66">
        <w:rPr>
          <w:rFonts w:ascii="Times New Roman" w:hAnsi="Times New Roman" w:cs="Times New Roman"/>
          <w:sz w:val="24"/>
          <w:szCs w:val="24"/>
          <w:lang w:val="uk-UA"/>
        </w:rPr>
        <w:t xml:space="preserve"> – поза межами легальної економіки. Сформовано рекомендації щодо врахування визначених факторів в процесі здійснення банківських операцій.</w:t>
      </w:r>
    </w:p>
    <w:p w:rsidR="00230269" w:rsidRDefault="00205C66" w:rsidP="004577CE">
      <w:pPr>
        <w:widowControl w:val="0"/>
        <w:spacing w:line="360" w:lineRule="auto"/>
        <w:ind w:firstLine="709"/>
        <w:jc w:val="both"/>
        <w:rPr>
          <w:rFonts w:ascii="Times New Roman" w:hAnsi="Times New Roman" w:cs="Times New Roman"/>
          <w:sz w:val="24"/>
          <w:szCs w:val="24"/>
          <w:lang w:val="uk-UA"/>
        </w:rPr>
      </w:pPr>
      <w:r w:rsidRPr="00284E79">
        <w:rPr>
          <w:rFonts w:ascii="Times New Roman" w:hAnsi="Times New Roman" w:cs="Times New Roman"/>
          <w:b/>
          <w:sz w:val="24"/>
          <w:szCs w:val="24"/>
          <w:lang w:val="uk-UA"/>
        </w:rPr>
        <w:t xml:space="preserve">Ключові слова: </w:t>
      </w:r>
      <w:r w:rsidRPr="00284E79">
        <w:rPr>
          <w:rFonts w:ascii="Times New Roman" w:hAnsi="Times New Roman" w:cs="Times New Roman"/>
          <w:sz w:val="24"/>
          <w:szCs w:val="24"/>
          <w:lang w:val="uk-UA"/>
        </w:rPr>
        <w:t xml:space="preserve">фактори легалізації злочинних доходів, протидія відмиванню коштів, </w:t>
      </w:r>
      <w:r w:rsidR="00284E79" w:rsidRPr="00284E79">
        <w:rPr>
          <w:rFonts w:ascii="Times New Roman" w:hAnsi="Times New Roman" w:cs="Times New Roman"/>
          <w:sz w:val="24"/>
          <w:szCs w:val="24"/>
          <w:lang w:val="uk-UA"/>
        </w:rPr>
        <w:t>тіньова економіка, індекс сприйняття корупції, індекс, протидії відмиванню грошей.</w:t>
      </w:r>
    </w:p>
    <w:p w:rsidR="00284E79" w:rsidRPr="00284E79" w:rsidRDefault="00284E79" w:rsidP="004577CE">
      <w:pPr>
        <w:widowControl w:val="0"/>
        <w:spacing w:line="360" w:lineRule="auto"/>
        <w:ind w:firstLine="709"/>
        <w:jc w:val="both"/>
        <w:rPr>
          <w:rFonts w:ascii="Times New Roman" w:hAnsi="Times New Roman" w:cs="Times New Roman"/>
          <w:sz w:val="24"/>
          <w:szCs w:val="24"/>
          <w:lang w:val="en-US"/>
        </w:rPr>
      </w:pPr>
      <w:r w:rsidRPr="00284E79">
        <w:rPr>
          <w:rFonts w:ascii="Times New Roman" w:hAnsi="Times New Roman" w:cs="Times New Roman"/>
          <w:sz w:val="24"/>
          <w:szCs w:val="24"/>
          <w:lang w:val="en-US"/>
        </w:rPr>
        <w:t xml:space="preserve">The article is devoted to the definition, grouping and analysis of the </w:t>
      </w:r>
      <w:r>
        <w:rPr>
          <w:rFonts w:ascii="Times New Roman" w:hAnsi="Times New Roman" w:cs="Times New Roman"/>
          <w:sz w:val="24"/>
          <w:szCs w:val="24"/>
          <w:lang w:val="en-US"/>
        </w:rPr>
        <w:t xml:space="preserve">money laundering </w:t>
      </w:r>
      <w:r w:rsidRPr="00284E79">
        <w:rPr>
          <w:rFonts w:ascii="Times New Roman" w:hAnsi="Times New Roman" w:cs="Times New Roman"/>
          <w:sz w:val="24"/>
          <w:szCs w:val="24"/>
          <w:lang w:val="en-US"/>
        </w:rPr>
        <w:t>factors, the search for relevant indicators, through which these factors can be measured or evaluated, and the development of proposals to take into account their influence in the conduct of bank</w:t>
      </w:r>
      <w:r>
        <w:rPr>
          <w:rFonts w:ascii="Times New Roman" w:hAnsi="Times New Roman" w:cs="Times New Roman"/>
          <w:sz w:val="24"/>
          <w:szCs w:val="24"/>
          <w:lang w:val="en-US"/>
        </w:rPr>
        <w:t>’</w:t>
      </w:r>
      <w:r w:rsidRPr="00284E79">
        <w:rPr>
          <w:rFonts w:ascii="Times New Roman" w:hAnsi="Times New Roman" w:cs="Times New Roman"/>
          <w:sz w:val="24"/>
          <w:szCs w:val="24"/>
          <w:lang w:val="en-US"/>
        </w:rPr>
        <w:t xml:space="preserve">s </w:t>
      </w:r>
      <w:proofErr w:type="gramStart"/>
      <w:r w:rsidRPr="00284E79">
        <w:rPr>
          <w:rFonts w:ascii="Times New Roman" w:hAnsi="Times New Roman" w:cs="Times New Roman"/>
          <w:sz w:val="24"/>
          <w:szCs w:val="24"/>
          <w:lang w:val="en-US"/>
        </w:rPr>
        <w:t>clients</w:t>
      </w:r>
      <w:proofErr w:type="gramEnd"/>
      <w:r w:rsidRPr="00284E79">
        <w:rPr>
          <w:rFonts w:ascii="Times New Roman" w:hAnsi="Times New Roman" w:cs="Times New Roman"/>
          <w:sz w:val="24"/>
          <w:szCs w:val="24"/>
          <w:lang w:val="en-US"/>
        </w:rPr>
        <w:t xml:space="preserve"> transactions. The grouping of money laundering factors with the allocation of subgroups within the framework of the generally accepted approach is proposed. A group of </w:t>
      </w:r>
      <w:proofErr w:type="gramStart"/>
      <w:r w:rsidRPr="00284E79">
        <w:rPr>
          <w:rFonts w:ascii="Times New Roman" w:hAnsi="Times New Roman" w:cs="Times New Roman"/>
          <w:sz w:val="24"/>
          <w:szCs w:val="24"/>
          <w:lang w:val="en-US"/>
        </w:rPr>
        <w:t xml:space="preserve">geographic </w:t>
      </w:r>
      <w:r w:rsidR="00A01BE6">
        <w:rPr>
          <w:rFonts w:ascii="Times New Roman" w:hAnsi="Times New Roman" w:cs="Times New Roman"/>
          <w:sz w:val="24"/>
          <w:szCs w:val="24"/>
          <w:lang w:val="en-US"/>
        </w:rPr>
        <w:t xml:space="preserve">or </w:t>
      </w:r>
      <w:r w:rsidR="00A01BE6" w:rsidRPr="00284E79">
        <w:rPr>
          <w:rFonts w:ascii="Times New Roman" w:hAnsi="Times New Roman" w:cs="Times New Roman"/>
          <w:sz w:val="24"/>
          <w:szCs w:val="24"/>
          <w:lang w:val="en-US"/>
        </w:rPr>
        <w:t xml:space="preserve">country </w:t>
      </w:r>
      <w:r w:rsidRPr="00284E79">
        <w:rPr>
          <w:rFonts w:ascii="Times New Roman" w:hAnsi="Times New Roman" w:cs="Times New Roman"/>
          <w:sz w:val="24"/>
          <w:szCs w:val="24"/>
          <w:lang w:val="en-US"/>
        </w:rPr>
        <w:t>factors o is distinguished by a group of economic, political and regulatory factors</w:t>
      </w:r>
      <w:proofErr w:type="gramEnd"/>
      <w:r w:rsidRPr="00284E79">
        <w:rPr>
          <w:rFonts w:ascii="Times New Roman" w:hAnsi="Times New Roman" w:cs="Times New Roman"/>
          <w:sz w:val="24"/>
          <w:szCs w:val="24"/>
          <w:lang w:val="en-US"/>
        </w:rPr>
        <w:t xml:space="preserve">. </w:t>
      </w:r>
      <w:r w:rsidR="00A01BE6">
        <w:rPr>
          <w:rFonts w:ascii="Times New Roman" w:hAnsi="Times New Roman" w:cs="Times New Roman"/>
          <w:sz w:val="24"/>
          <w:szCs w:val="24"/>
          <w:lang w:val="en-US"/>
        </w:rPr>
        <w:t>I</w:t>
      </w:r>
      <w:r w:rsidRPr="00284E79">
        <w:rPr>
          <w:rFonts w:ascii="Times New Roman" w:hAnsi="Times New Roman" w:cs="Times New Roman"/>
          <w:sz w:val="24"/>
          <w:szCs w:val="24"/>
          <w:lang w:val="en-US"/>
        </w:rPr>
        <w:t>ndicators that help to analyze and assess the significance of the influence of geographic factors</w:t>
      </w:r>
      <w:r w:rsidR="00A01BE6" w:rsidRPr="00A01BE6">
        <w:rPr>
          <w:rFonts w:ascii="Times New Roman" w:hAnsi="Times New Roman" w:cs="Times New Roman"/>
          <w:sz w:val="24"/>
          <w:szCs w:val="24"/>
          <w:lang w:val="en-US"/>
        </w:rPr>
        <w:t xml:space="preserve"> </w:t>
      </w:r>
      <w:proofErr w:type="gramStart"/>
      <w:r w:rsidR="00A01BE6">
        <w:rPr>
          <w:rFonts w:ascii="Times New Roman" w:hAnsi="Times New Roman" w:cs="Times New Roman"/>
          <w:sz w:val="24"/>
          <w:szCs w:val="24"/>
          <w:lang w:val="en-US"/>
        </w:rPr>
        <w:t>were identified and analyzed</w:t>
      </w:r>
      <w:proofErr w:type="gramEnd"/>
      <w:r w:rsidRPr="00284E79">
        <w:rPr>
          <w:rFonts w:ascii="Times New Roman" w:hAnsi="Times New Roman" w:cs="Times New Roman"/>
          <w:sz w:val="24"/>
          <w:szCs w:val="24"/>
          <w:lang w:val="en-US"/>
        </w:rPr>
        <w:t xml:space="preserve">. The group of client factors </w:t>
      </w:r>
      <w:proofErr w:type="gramStart"/>
      <w:r w:rsidRPr="00284E79">
        <w:rPr>
          <w:rFonts w:ascii="Times New Roman" w:hAnsi="Times New Roman" w:cs="Times New Roman"/>
          <w:sz w:val="24"/>
          <w:szCs w:val="24"/>
          <w:lang w:val="en-US"/>
        </w:rPr>
        <w:t>is divided</w:t>
      </w:r>
      <w:proofErr w:type="gramEnd"/>
      <w:r w:rsidRPr="00284E79">
        <w:rPr>
          <w:rFonts w:ascii="Times New Roman" w:hAnsi="Times New Roman" w:cs="Times New Roman"/>
          <w:sz w:val="24"/>
          <w:szCs w:val="24"/>
          <w:lang w:val="en-US"/>
        </w:rPr>
        <w:t xml:space="preserve"> into those that apply to legal entities and individuals - clients of </w:t>
      </w:r>
      <w:r w:rsidR="00A01BE6" w:rsidRPr="00284E79">
        <w:rPr>
          <w:rFonts w:ascii="Times New Roman" w:hAnsi="Times New Roman" w:cs="Times New Roman"/>
          <w:sz w:val="24"/>
          <w:szCs w:val="24"/>
          <w:lang w:val="en-US"/>
        </w:rPr>
        <w:t>banks</w:t>
      </w:r>
      <w:r w:rsidRPr="00284E79">
        <w:rPr>
          <w:rFonts w:ascii="Times New Roman" w:hAnsi="Times New Roman" w:cs="Times New Roman"/>
          <w:sz w:val="24"/>
          <w:szCs w:val="24"/>
          <w:lang w:val="en-US"/>
        </w:rPr>
        <w:t xml:space="preserve"> and a set of product factors form two subgroups - factors associated with customer transactions within </w:t>
      </w:r>
      <w:r w:rsidRPr="00284E79">
        <w:rPr>
          <w:rFonts w:ascii="Times New Roman" w:hAnsi="Times New Roman" w:cs="Times New Roman"/>
          <w:sz w:val="24"/>
          <w:szCs w:val="24"/>
          <w:lang w:val="en-US"/>
        </w:rPr>
        <w:lastRenderedPageBreak/>
        <w:t xml:space="preserve">the legal economy, and factors outside the legal economy. </w:t>
      </w:r>
      <w:r w:rsidR="00A01BE6">
        <w:rPr>
          <w:rFonts w:ascii="Times New Roman" w:hAnsi="Times New Roman" w:cs="Times New Roman"/>
          <w:sz w:val="24"/>
          <w:szCs w:val="24"/>
          <w:lang w:val="en-US"/>
        </w:rPr>
        <w:t>R</w:t>
      </w:r>
      <w:r w:rsidRPr="00284E79">
        <w:rPr>
          <w:rFonts w:ascii="Times New Roman" w:hAnsi="Times New Roman" w:cs="Times New Roman"/>
          <w:sz w:val="24"/>
          <w:szCs w:val="24"/>
          <w:lang w:val="en-US"/>
        </w:rPr>
        <w:t>ecommen</w:t>
      </w:r>
      <w:r w:rsidR="00A01BE6">
        <w:rPr>
          <w:rFonts w:ascii="Times New Roman" w:hAnsi="Times New Roman" w:cs="Times New Roman"/>
          <w:sz w:val="24"/>
          <w:szCs w:val="24"/>
          <w:lang w:val="en-US"/>
        </w:rPr>
        <w:t>dations for taking into consideration</w:t>
      </w:r>
      <w:r w:rsidRPr="00284E79">
        <w:rPr>
          <w:rFonts w:ascii="Times New Roman" w:hAnsi="Times New Roman" w:cs="Times New Roman"/>
          <w:sz w:val="24"/>
          <w:szCs w:val="24"/>
          <w:lang w:val="en-US"/>
        </w:rPr>
        <w:t xml:space="preserve"> certain factors in the process of banking operations</w:t>
      </w:r>
      <w:r w:rsidR="00A01BE6">
        <w:rPr>
          <w:rFonts w:ascii="Times New Roman" w:hAnsi="Times New Roman" w:cs="Times New Roman"/>
          <w:sz w:val="24"/>
          <w:szCs w:val="24"/>
          <w:lang w:val="en-US"/>
        </w:rPr>
        <w:t xml:space="preserve"> </w:t>
      </w:r>
      <w:proofErr w:type="gramStart"/>
      <w:r w:rsidR="00A01BE6">
        <w:rPr>
          <w:rFonts w:ascii="Times New Roman" w:hAnsi="Times New Roman" w:cs="Times New Roman"/>
          <w:sz w:val="24"/>
          <w:szCs w:val="24"/>
          <w:lang w:val="en-US"/>
        </w:rPr>
        <w:t>were suggested</w:t>
      </w:r>
      <w:proofErr w:type="gramEnd"/>
      <w:r w:rsidR="00A01BE6">
        <w:rPr>
          <w:rFonts w:ascii="Times New Roman" w:hAnsi="Times New Roman" w:cs="Times New Roman"/>
          <w:sz w:val="24"/>
          <w:szCs w:val="24"/>
          <w:lang w:val="en-US"/>
        </w:rPr>
        <w:t>.</w:t>
      </w:r>
    </w:p>
    <w:p w:rsidR="00284E79" w:rsidRPr="00284E79" w:rsidRDefault="00284E79" w:rsidP="004577CE">
      <w:pPr>
        <w:widowControl w:val="0"/>
        <w:spacing w:line="360" w:lineRule="auto"/>
        <w:ind w:firstLine="709"/>
        <w:jc w:val="both"/>
        <w:rPr>
          <w:rFonts w:ascii="Times New Roman" w:hAnsi="Times New Roman" w:cs="Times New Roman"/>
          <w:sz w:val="24"/>
          <w:szCs w:val="24"/>
          <w:lang w:val="en-US"/>
        </w:rPr>
      </w:pPr>
      <w:r w:rsidRPr="00284E79">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money </w:t>
      </w:r>
      <w:r w:rsidRPr="00284E79">
        <w:rPr>
          <w:rFonts w:ascii="Times New Roman" w:hAnsi="Times New Roman" w:cs="Times New Roman"/>
          <w:sz w:val="24"/>
          <w:szCs w:val="24"/>
          <w:lang w:val="en-US"/>
        </w:rPr>
        <w:t>laundering factors, money laundering combat, shadow economy, Corruption Perceptions Index, Anti-Money Laundering Index.</w:t>
      </w:r>
    </w:p>
    <w:p w:rsidR="00284E79" w:rsidRPr="00205C66" w:rsidRDefault="00284E79" w:rsidP="004577CE">
      <w:pPr>
        <w:widowControl w:val="0"/>
        <w:spacing w:line="360" w:lineRule="auto"/>
        <w:ind w:firstLine="709"/>
        <w:jc w:val="both"/>
        <w:rPr>
          <w:rFonts w:ascii="Times New Roman" w:hAnsi="Times New Roman" w:cs="Times New Roman"/>
          <w:b/>
          <w:lang w:val="uk-UA"/>
        </w:rPr>
      </w:pPr>
    </w:p>
    <w:p w:rsidR="004B4F37" w:rsidRDefault="003D0FDC" w:rsidP="004577CE">
      <w:pPr>
        <w:widowControl w:val="0"/>
        <w:spacing w:line="360" w:lineRule="auto"/>
        <w:ind w:firstLine="709"/>
        <w:jc w:val="both"/>
        <w:rPr>
          <w:rFonts w:ascii="Times New Roman" w:hAnsi="Times New Roman" w:cs="Times New Roman"/>
          <w:lang w:val="uk-UA"/>
        </w:rPr>
      </w:pPr>
      <w:r w:rsidRPr="003D0FDC">
        <w:rPr>
          <w:rFonts w:ascii="Times New Roman" w:hAnsi="Times New Roman" w:cs="Times New Roman"/>
          <w:b/>
          <w:lang w:val="uk-UA"/>
        </w:rPr>
        <w:t>Постановка проблеми.</w:t>
      </w:r>
      <w:r>
        <w:rPr>
          <w:rFonts w:ascii="Times New Roman" w:hAnsi="Times New Roman" w:cs="Times New Roman"/>
          <w:lang w:val="uk-UA"/>
        </w:rPr>
        <w:t xml:space="preserve"> </w:t>
      </w:r>
      <w:r w:rsidR="00537513" w:rsidRPr="00537513">
        <w:rPr>
          <w:rFonts w:ascii="Times New Roman" w:hAnsi="Times New Roman" w:cs="Times New Roman"/>
          <w:lang w:val="uk-UA"/>
        </w:rPr>
        <w:t>Легалізація доходів, отриманих злочинним шляхом</w:t>
      </w:r>
      <w:r w:rsidR="00537513">
        <w:rPr>
          <w:rFonts w:ascii="Times New Roman" w:hAnsi="Times New Roman" w:cs="Times New Roman"/>
          <w:lang w:val="uk-UA"/>
        </w:rPr>
        <w:t>,</w:t>
      </w:r>
      <w:r w:rsidR="00537513" w:rsidRPr="00537513">
        <w:rPr>
          <w:rFonts w:ascii="Times New Roman" w:hAnsi="Times New Roman" w:cs="Times New Roman"/>
          <w:lang w:val="uk-UA"/>
        </w:rPr>
        <w:t xml:space="preserve"> є значною загрозою </w:t>
      </w:r>
      <w:r w:rsidR="00537513">
        <w:rPr>
          <w:rFonts w:ascii="Times New Roman" w:hAnsi="Times New Roman" w:cs="Times New Roman"/>
          <w:lang w:val="uk-UA"/>
        </w:rPr>
        <w:t>стабільності функціонування економіки бу</w:t>
      </w:r>
      <w:r w:rsidR="00230269">
        <w:rPr>
          <w:rFonts w:ascii="Times New Roman" w:hAnsi="Times New Roman" w:cs="Times New Roman"/>
          <w:lang w:val="uk-UA"/>
        </w:rPr>
        <w:t xml:space="preserve">дь-якої країни, суттєво знижує </w:t>
      </w:r>
      <w:r w:rsidR="00537513">
        <w:rPr>
          <w:rFonts w:ascii="Times New Roman" w:hAnsi="Times New Roman" w:cs="Times New Roman"/>
          <w:lang w:val="uk-UA"/>
        </w:rPr>
        <w:t xml:space="preserve">фінансову безпеку держави та підвищує ризик глобальної соціально-економічної та політичної нестабільності. Усвідомлення цієї загрози спонукає міжнародне співтовариство розробляти та впроваджувати відповідні заходи щодо </w:t>
      </w:r>
      <w:r w:rsidR="00213606">
        <w:rPr>
          <w:rFonts w:ascii="Times New Roman" w:hAnsi="Times New Roman" w:cs="Times New Roman"/>
          <w:lang w:val="uk-UA"/>
        </w:rPr>
        <w:t xml:space="preserve">обмеження та унеможливлення відмивання коштів. Проте стрімкий розвиток інформаційних технологій, підвищення мобільності фінансових ресурсів, віртуалізація окремих видів підприємницької діяльності вимагають постійного вдосконалення процесів та інструментарію запобігання та протидії легалізації злочинних доходів. Провідні фахівці, спеціалісти та експерти з питань відмивання коштів усвідомлюють, що розробка більшості механізмів протидії здійснюється постфактум, тобто після виявлення та визначення типологічних схем та способів легалізації, а часто й після черги спеціально проведених розслідувань та винесених відповідних судових рішень. У зв’язку з цим майже неможливо </w:t>
      </w:r>
      <w:r w:rsidR="008A045B">
        <w:rPr>
          <w:rFonts w:ascii="Times New Roman" w:hAnsi="Times New Roman" w:cs="Times New Roman"/>
          <w:lang w:val="uk-UA"/>
        </w:rPr>
        <w:t>говорити про наявність дієвих та бездоганно працюючих випереджальних або попереджувальних заходів: коли широкому загалу стає відома удосконалена або нова схема чи спосіб відмивання коштів, зловмисники знаходять нові засоби виведення коштів з тіньової економіки.</w:t>
      </w:r>
      <w:r w:rsidR="004B4F37">
        <w:rPr>
          <w:rFonts w:ascii="Times New Roman" w:hAnsi="Times New Roman" w:cs="Times New Roman"/>
          <w:lang w:val="uk-UA"/>
        </w:rPr>
        <w:t xml:space="preserve"> </w:t>
      </w:r>
      <w:r w:rsidR="008A045B">
        <w:rPr>
          <w:rFonts w:ascii="Times New Roman" w:hAnsi="Times New Roman" w:cs="Times New Roman"/>
          <w:lang w:val="uk-UA"/>
        </w:rPr>
        <w:t>Ускладнюється процес боротьби з відмиванням коштів ще й тим, з що схеми легалізації кримінальних доходів, як правило, налічують значну кількість учасників, підпорядкованих різним відомствам, міністерствам, а часто й державам.</w:t>
      </w:r>
      <w:r w:rsidR="004B4F37">
        <w:rPr>
          <w:rFonts w:ascii="Times New Roman" w:hAnsi="Times New Roman" w:cs="Times New Roman"/>
          <w:lang w:val="uk-UA"/>
        </w:rPr>
        <w:t xml:space="preserve"> </w:t>
      </w:r>
    </w:p>
    <w:p w:rsidR="004B4F37" w:rsidRDefault="004B4F37" w:rsidP="004577CE">
      <w:pPr>
        <w:widowControl w:val="0"/>
        <w:spacing w:line="360" w:lineRule="auto"/>
        <w:ind w:firstLine="709"/>
        <w:jc w:val="both"/>
        <w:rPr>
          <w:rFonts w:ascii="Times New Roman" w:hAnsi="Times New Roman" w:cs="Times New Roman"/>
          <w:lang w:val="uk-UA"/>
        </w:rPr>
      </w:pPr>
      <w:r w:rsidRPr="004B4F37">
        <w:rPr>
          <w:rFonts w:ascii="Times New Roman" w:hAnsi="Times New Roman" w:cs="Times New Roman"/>
          <w:lang w:val="uk-UA"/>
        </w:rPr>
        <w:t xml:space="preserve">Сукупність зазначеного зумовила </w:t>
      </w:r>
      <w:r>
        <w:rPr>
          <w:rFonts w:ascii="Times New Roman" w:hAnsi="Times New Roman" w:cs="Times New Roman"/>
          <w:lang w:val="uk-UA"/>
        </w:rPr>
        <w:t>те, що сучасні стандарти боротьби з легалізацією к</w:t>
      </w:r>
      <w:r w:rsidR="005A5CE5">
        <w:rPr>
          <w:rFonts w:ascii="Times New Roman" w:hAnsi="Times New Roman" w:cs="Times New Roman"/>
          <w:lang w:val="uk-UA"/>
        </w:rPr>
        <w:t>римінальних доходів, поширювані</w:t>
      </w:r>
      <w:r>
        <w:rPr>
          <w:rFonts w:ascii="Times New Roman" w:hAnsi="Times New Roman" w:cs="Times New Roman"/>
          <w:lang w:val="uk-UA"/>
        </w:rPr>
        <w:t xml:space="preserve"> </w:t>
      </w:r>
      <w:r w:rsidRPr="004B4F37">
        <w:rPr>
          <w:rFonts w:ascii="Times New Roman" w:hAnsi="Times New Roman" w:cs="Times New Roman"/>
          <w:bCs/>
          <w:color w:val="222222"/>
          <w:shd w:val="clear" w:color="auto" w:fill="FFFFFF"/>
          <w:lang w:val="uk-UA"/>
        </w:rPr>
        <w:t>Міжнародн</w:t>
      </w:r>
      <w:r>
        <w:rPr>
          <w:rFonts w:ascii="Times New Roman" w:hAnsi="Times New Roman" w:cs="Times New Roman"/>
          <w:bCs/>
          <w:color w:val="222222"/>
          <w:shd w:val="clear" w:color="auto" w:fill="FFFFFF"/>
          <w:lang w:val="uk-UA"/>
        </w:rPr>
        <w:t>ою</w:t>
      </w:r>
      <w:r w:rsidRPr="004B4F37">
        <w:rPr>
          <w:rFonts w:ascii="Times New Roman" w:hAnsi="Times New Roman" w:cs="Times New Roman"/>
          <w:bCs/>
          <w:color w:val="222222"/>
          <w:shd w:val="clear" w:color="auto" w:fill="FFFFFF"/>
          <w:lang w:val="uk-UA"/>
        </w:rPr>
        <w:t xml:space="preserve"> груп</w:t>
      </w:r>
      <w:r>
        <w:rPr>
          <w:rFonts w:ascii="Times New Roman" w:hAnsi="Times New Roman" w:cs="Times New Roman"/>
          <w:bCs/>
          <w:color w:val="222222"/>
          <w:shd w:val="clear" w:color="auto" w:fill="FFFFFF"/>
          <w:lang w:val="uk-UA"/>
        </w:rPr>
        <w:t>ою</w:t>
      </w:r>
      <w:r w:rsidRPr="004B4F37">
        <w:rPr>
          <w:rFonts w:ascii="Times New Roman" w:hAnsi="Times New Roman" w:cs="Times New Roman"/>
          <w:bCs/>
          <w:color w:val="222222"/>
          <w:shd w:val="clear" w:color="auto" w:fill="FFFFFF"/>
          <w:lang w:val="uk-UA"/>
        </w:rPr>
        <w:t xml:space="preserve"> з протидії відмиванню брудних грошей</w:t>
      </w:r>
      <w:r w:rsidRPr="004B4F37">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lang w:val="uk-UA"/>
        </w:rPr>
        <w:t xml:space="preserve">(англійською </w:t>
      </w:r>
      <w:r>
        <w:rPr>
          <w:rFonts w:ascii="Times New Roman" w:hAnsi="Times New Roman" w:cs="Times New Roman"/>
          <w:color w:val="222222"/>
          <w:shd w:val="clear" w:color="auto" w:fill="FFFFFF"/>
          <w:lang w:val="en-US"/>
        </w:rPr>
        <w:t>Financial</w:t>
      </w:r>
      <w:r w:rsidRPr="004B4F37">
        <w:rPr>
          <w:rFonts w:ascii="Times New Roman" w:hAnsi="Times New Roman" w:cs="Times New Roman"/>
          <w:color w:val="222222"/>
          <w:shd w:val="clear" w:color="auto" w:fill="FFFFFF"/>
          <w:lang w:val="uk-UA"/>
        </w:rPr>
        <w:t xml:space="preserve"> </w:t>
      </w:r>
      <w:r>
        <w:rPr>
          <w:rFonts w:ascii="Times New Roman" w:hAnsi="Times New Roman" w:cs="Times New Roman"/>
          <w:color w:val="222222"/>
          <w:shd w:val="clear" w:color="auto" w:fill="FFFFFF"/>
          <w:lang w:val="en-US"/>
        </w:rPr>
        <w:t>Action</w:t>
      </w:r>
      <w:r w:rsidRPr="004B4F37">
        <w:rPr>
          <w:rFonts w:ascii="Times New Roman" w:hAnsi="Times New Roman" w:cs="Times New Roman"/>
          <w:color w:val="222222"/>
          <w:shd w:val="clear" w:color="auto" w:fill="FFFFFF"/>
          <w:lang w:val="uk-UA"/>
        </w:rPr>
        <w:t xml:space="preserve"> </w:t>
      </w:r>
      <w:r>
        <w:rPr>
          <w:rFonts w:ascii="Times New Roman" w:hAnsi="Times New Roman" w:cs="Times New Roman"/>
          <w:color w:val="222222"/>
          <w:shd w:val="clear" w:color="auto" w:fill="FFFFFF"/>
          <w:lang w:val="en-US"/>
        </w:rPr>
        <w:t>Task</w:t>
      </w:r>
      <w:r w:rsidRPr="004B4F37">
        <w:rPr>
          <w:rFonts w:ascii="Times New Roman" w:hAnsi="Times New Roman" w:cs="Times New Roman"/>
          <w:color w:val="222222"/>
          <w:shd w:val="clear" w:color="auto" w:fill="FFFFFF"/>
          <w:lang w:val="uk-UA"/>
        </w:rPr>
        <w:t xml:space="preserve"> </w:t>
      </w:r>
      <w:r>
        <w:rPr>
          <w:rFonts w:ascii="Times New Roman" w:hAnsi="Times New Roman" w:cs="Times New Roman"/>
          <w:color w:val="222222"/>
          <w:shd w:val="clear" w:color="auto" w:fill="FFFFFF"/>
          <w:lang w:val="en-US"/>
        </w:rPr>
        <w:t>Force</w:t>
      </w:r>
      <w:r>
        <w:rPr>
          <w:rFonts w:ascii="Times New Roman" w:hAnsi="Times New Roman" w:cs="Times New Roman"/>
          <w:color w:val="222222"/>
          <w:shd w:val="clear" w:color="auto" w:fill="FFFFFF"/>
          <w:lang w:val="uk-UA"/>
        </w:rPr>
        <w:t>, скорочено</w:t>
      </w:r>
      <w:r w:rsidRPr="004B4F37">
        <w:rPr>
          <w:rFonts w:ascii="Times New Roman" w:hAnsi="Times New Roman" w:cs="Times New Roman"/>
          <w:color w:val="222222"/>
          <w:shd w:val="clear" w:color="auto" w:fill="FFFFFF"/>
          <w:lang w:val="uk-UA"/>
        </w:rPr>
        <w:t xml:space="preserve"> </w:t>
      </w:r>
      <w:r>
        <w:rPr>
          <w:rFonts w:ascii="Times New Roman" w:hAnsi="Times New Roman" w:cs="Times New Roman"/>
          <w:color w:val="222222"/>
          <w:shd w:val="clear" w:color="auto" w:fill="FFFFFF"/>
          <w:lang w:val="en-US"/>
        </w:rPr>
        <w:t>FATF</w:t>
      </w:r>
      <w:r>
        <w:rPr>
          <w:rFonts w:ascii="Times New Roman" w:hAnsi="Times New Roman" w:cs="Times New Roman"/>
          <w:color w:val="222222"/>
          <w:shd w:val="clear" w:color="auto" w:fill="FFFFFF"/>
          <w:lang w:val="uk-UA"/>
        </w:rPr>
        <w:t>;</w:t>
      </w:r>
      <w:r w:rsidRPr="004B4F37">
        <w:rPr>
          <w:rFonts w:ascii="Times New Roman" w:hAnsi="Times New Roman" w:cs="Times New Roman"/>
          <w:color w:val="222222"/>
          <w:shd w:val="clear" w:color="auto" w:fill="FFFFFF"/>
          <w:lang w:val="uk-UA"/>
        </w:rPr>
        <w:t xml:space="preserve"> </w:t>
      </w:r>
      <w:r>
        <w:rPr>
          <w:rFonts w:ascii="Times New Roman" w:hAnsi="Times New Roman" w:cs="Times New Roman"/>
          <w:color w:val="222222"/>
          <w:shd w:val="clear" w:color="auto" w:fill="FFFFFF"/>
          <w:lang w:val="uk-UA"/>
        </w:rPr>
        <w:t xml:space="preserve">далі </w:t>
      </w:r>
      <w:r w:rsidRPr="004B4F37">
        <w:rPr>
          <w:rFonts w:ascii="Times New Roman" w:hAnsi="Times New Roman" w:cs="Times New Roman"/>
          <w:lang w:val="uk-UA"/>
        </w:rPr>
        <w:t>ФАТФ</w:t>
      </w:r>
      <w:r>
        <w:rPr>
          <w:rFonts w:ascii="Times New Roman" w:hAnsi="Times New Roman" w:cs="Times New Roman"/>
          <w:lang w:val="uk-UA"/>
        </w:rPr>
        <w:t xml:space="preserve">) в основному зосереджені на оцінці ризиків відмивання коштів та їх врахуванні під час аналізу та проведення міжнародних та внутрішніх операцій </w:t>
      </w:r>
      <w:r>
        <w:rPr>
          <w:rFonts w:ascii="Times New Roman" w:hAnsi="Times New Roman" w:cs="Times New Roman"/>
          <w:lang w:val="uk-UA"/>
        </w:rPr>
        <w:lastRenderedPageBreak/>
        <w:t>різних суб’єктів</w:t>
      </w:r>
      <w:r w:rsidR="00C91E2C">
        <w:rPr>
          <w:rFonts w:ascii="Times New Roman" w:hAnsi="Times New Roman" w:cs="Times New Roman"/>
          <w:lang w:val="uk-UA"/>
        </w:rPr>
        <w:t xml:space="preserve">. У </w:t>
      </w:r>
      <w:r w:rsidR="00E53521">
        <w:rPr>
          <w:rFonts w:ascii="Times New Roman" w:hAnsi="Times New Roman" w:cs="Times New Roman"/>
          <w:lang w:val="uk-UA"/>
        </w:rPr>
        <w:t xml:space="preserve">Типологічному </w:t>
      </w:r>
      <w:r w:rsidR="00C91E2C">
        <w:rPr>
          <w:rFonts w:ascii="Times New Roman" w:hAnsi="Times New Roman" w:cs="Times New Roman"/>
          <w:lang w:val="uk-UA"/>
        </w:rPr>
        <w:t>звіті ФАТФ 2012 року «</w:t>
      </w:r>
      <w:r w:rsidR="00E53521">
        <w:rPr>
          <w:rFonts w:ascii="Times New Roman" w:hAnsi="Times New Roman" w:cs="Times New Roman"/>
          <w:lang w:val="uk-UA"/>
        </w:rPr>
        <w:t>Конкретні фактори ризику, пов’язані з легалізацією (відмиванням) доходів від корупції</w:t>
      </w:r>
      <w:r w:rsidR="00C91E2C">
        <w:rPr>
          <w:rFonts w:ascii="Times New Roman" w:hAnsi="Times New Roman" w:cs="Times New Roman"/>
          <w:lang w:val="uk-UA"/>
        </w:rPr>
        <w:t>»</w:t>
      </w:r>
      <w:r w:rsidR="00E53521">
        <w:rPr>
          <w:rFonts w:ascii="Times New Roman" w:hAnsi="Times New Roman" w:cs="Times New Roman"/>
          <w:lang w:val="uk-UA"/>
        </w:rPr>
        <w:t xml:space="preserve"> зазначено</w:t>
      </w:r>
      <w:r w:rsidR="00A45744" w:rsidRPr="00A45744">
        <w:rPr>
          <w:rFonts w:ascii="Times New Roman" w:hAnsi="Times New Roman" w:cs="Times New Roman"/>
          <w:lang w:val="uk-UA"/>
        </w:rPr>
        <w:t xml:space="preserve"> </w:t>
      </w:r>
      <w:r w:rsidR="00A45744">
        <w:rPr>
          <w:rFonts w:ascii="Times New Roman" w:hAnsi="Times New Roman" w:cs="Times New Roman"/>
          <w:lang w:val="uk-UA"/>
        </w:rPr>
        <w:t xml:space="preserve">«фактори, що впливають на рівень ризику відмивання грошей, містять клієнтський ризик, ризик країни або географічний ризик, а також ризики, пов’язані з продуктами чи фінансовими інструментами. Розуміння цих ризиків та пов’язаних з ними факторів дає можливість застосовувати більш ефективні та дієві заходи для захисту від відмивання корупційних доходів» </w:t>
      </w:r>
      <w:r w:rsidR="000E1DEE">
        <w:rPr>
          <w:rStyle w:val="aa"/>
          <w:rFonts w:ascii="Times New Roman" w:hAnsi="Times New Roman" w:cs="Times New Roman"/>
          <w:lang w:val="uk-UA"/>
        </w:rPr>
        <w:footnoteReference w:id="1"/>
      </w:r>
      <w:r w:rsidR="00A45744">
        <w:rPr>
          <w:rFonts w:ascii="Times New Roman" w:hAnsi="Times New Roman" w:cs="Times New Roman"/>
          <w:lang w:val="uk-UA"/>
        </w:rPr>
        <w:t>.</w:t>
      </w:r>
      <w:r w:rsidR="00CE33C4">
        <w:rPr>
          <w:rFonts w:ascii="Times New Roman" w:hAnsi="Times New Roman" w:cs="Times New Roman"/>
          <w:lang w:val="uk-UA"/>
        </w:rPr>
        <w:t xml:space="preserve"> Це дає підстави стверджувати, що важливими є не тільки ризики відмивання коштів, а й врахування факторів, що на ці ризики впливають.</w:t>
      </w:r>
    </w:p>
    <w:p w:rsidR="001427D7" w:rsidRDefault="00A45744"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Аналіз праць, присвячених</w:t>
      </w:r>
      <w:r w:rsidR="00FE6170">
        <w:rPr>
          <w:rFonts w:ascii="Times New Roman" w:hAnsi="Times New Roman" w:cs="Times New Roman"/>
          <w:lang w:val="uk-UA"/>
        </w:rPr>
        <w:t xml:space="preserve"> вирішенню проблем протидії відмиванню грошей, показав, що </w:t>
      </w:r>
      <w:r w:rsidR="00CE33C4">
        <w:rPr>
          <w:rFonts w:ascii="Times New Roman" w:hAnsi="Times New Roman" w:cs="Times New Roman"/>
          <w:lang w:val="uk-UA"/>
        </w:rPr>
        <w:t>питанням ризиків</w:t>
      </w:r>
      <w:r w:rsidR="001427D7">
        <w:rPr>
          <w:rFonts w:ascii="Times New Roman" w:hAnsi="Times New Roman" w:cs="Times New Roman"/>
          <w:lang w:val="uk-UA"/>
        </w:rPr>
        <w:t xml:space="preserve">, критеріїв </w:t>
      </w:r>
      <w:r w:rsidR="001427D7" w:rsidRPr="0076594F">
        <w:rPr>
          <w:rFonts w:ascii="Times New Roman" w:hAnsi="Times New Roman" w:cs="Times New Roman"/>
          <w:lang w:val="uk-UA"/>
        </w:rPr>
        <w:t>ризиків, їх класифікації та оцінки, моделювання присвячено багато досліджень учених</w:t>
      </w:r>
      <w:r w:rsidR="003D0FDC" w:rsidRPr="0076594F">
        <w:rPr>
          <w:rFonts w:ascii="Times New Roman" w:hAnsi="Times New Roman" w:cs="Times New Roman"/>
          <w:lang w:val="uk-UA"/>
        </w:rPr>
        <w:t xml:space="preserve">, </w:t>
      </w:r>
      <w:r w:rsidR="001427D7" w:rsidRPr="0076594F">
        <w:rPr>
          <w:rFonts w:ascii="Times New Roman" w:hAnsi="Times New Roman" w:cs="Times New Roman"/>
          <w:lang w:val="uk-UA"/>
        </w:rPr>
        <w:t>і</w:t>
      </w:r>
      <w:r w:rsidR="001427D7">
        <w:rPr>
          <w:rFonts w:ascii="Times New Roman" w:hAnsi="Times New Roman" w:cs="Times New Roman"/>
          <w:lang w:val="uk-UA"/>
        </w:rPr>
        <w:t xml:space="preserve"> вони досить широко опрацьовані та розроблені, а питання факторів легалізації злочинних доходів залишається поза увагою вчених,</w:t>
      </w:r>
      <w:r w:rsidR="0005175A">
        <w:rPr>
          <w:rFonts w:ascii="Times New Roman" w:hAnsi="Times New Roman" w:cs="Times New Roman"/>
          <w:lang w:val="uk-UA"/>
        </w:rPr>
        <w:t xml:space="preserve"> хоча власне фактори і є тими визначальними умовами, а іноді й причинами, що сприяють або стримують відмивання злочинних доходів. </w:t>
      </w:r>
      <w:r w:rsidR="009F7BED">
        <w:rPr>
          <w:rFonts w:ascii="Times New Roman" w:hAnsi="Times New Roman" w:cs="Times New Roman"/>
          <w:lang w:val="uk-UA"/>
        </w:rPr>
        <w:t xml:space="preserve">Зазначене </w:t>
      </w:r>
      <w:r w:rsidR="001427D7">
        <w:rPr>
          <w:rFonts w:ascii="Times New Roman" w:hAnsi="Times New Roman" w:cs="Times New Roman"/>
          <w:lang w:val="uk-UA"/>
        </w:rPr>
        <w:t>і зумовило вибір проблеми, вирішенню якої присвячено статтю.</w:t>
      </w:r>
    </w:p>
    <w:p w:rsidR="00A45744" w:rsidRDefault="003D0FDC" w:rsidP="004577CE">
      <w:pPr>
        <w:widowControl w:val="0"/>
        <w:spacing w:line="360" w:lineRule="auto"/>
        <w:ind w:firstLine="709"/>
        <w:jc w:val="both"/>
        <w:rPr>
          <w:rFonts w:ascii="Times New Roman" w:hAnsi="Times New Roman" w:cs="Times New Roman"/>
          <w:lang w:val="uk-UA"/>
        </w:rPr>
      </w:pPr>
      <w:r w:rsidRPr="003D0FDC">
        <w:rPr>
          <w:rFonts w:ascii="Times New Roman" w:hAnsi="Times New Roman" w:cs="Times New Roman"/>
          <w:b/>
          <w:lang w:val="uk-UA"/>
        </w:rPr>
        <w:t>Метою</w:t>
      </w:r>
      <w:r>
        <w:rPr>
          <w:rFonts w:ascii="Times New Roman" w:hAnsi="Times New Roman" w:cs="Times New Roman"/>
          <w:lang w:val="uk-UA"/>
        </w:rPr>
        <w:t xml:space="preserve"> статті є визначення та аналіз факторів </w:t>
      </w:r>
      <w:r w:rsidRPr="00537513">
        <w:rPr>
          <w:rFonts w:ascii="Times New Roman" w:hAnsi="Times New Roman" w:cs="Times New Roman"/>
          <w:lang w:val="uk-UA"/>
        </w:rPr>
        <w:t>легалізації злочинних доходів</w:t>
      </w:r>
      <w:r>
        <w:rPr>
          <w:rFonts w:ascii="Times New Roman" w:hAnsi="Times New Roman" w:cs="Times New Roman"/>
          <w:lang w:val="uk-UA"/>
        </w:rPr>
        <w:t xml:space="preserve">, пошук релевантних показників, за допомогою яких ці фактори можна виміряти або оцінити, та розроблення пропозицій щодо врахування їх впливу при здійсненні операцій клієнтів банків. </w:t>
      </w:r>
    </w:p>
    <w:p w:rsidR="009F7BED" w:rsidRPr="00537513" w:rsidRDefault="003D0FDC" w:rsidP="004577CE">
      <w:pPr>
        <w:widowControl w:val="0"/>
        <w:spacing w:line="360" w:lineRule="auto"/>
        <w:ind w:firstLine="709"/>
        <w:jc w:val="both"/>
        <w:rPr>
          <w:rFonts w:ascii="Times New Roman" w:hAnsi="Times New Roman" w:cs="Times New Roman"/>
          <w:lang w:val="uk-UA"/>
        </w:rPr>
      </w:pPr>
      <w:r w:rsidRPr="004663DC">
        <w:rPr>
          <w:rFonts w:ascii="Times New Roman" w:hAnsi="Times New Roman" w:cs="Times New Roman"/>
          <w:b/>
          <w:lang w:val="uk-UA"/>
        </w:rPr>
        <w:t>Виклад основного матеріалу.</w:t>
      </w:r>
      <w:r>
        <w:rPr>
          <w:rFonts w:ascii="Times New Roman" w:hAnsi="Times New Roman" w:cs="Times New Roman"/>
          <w:lang w:val="uk-UA"/>
        </w:rPr>
        <w:t xml:space="preserve"> </w:t>
      </w:r>
      <w:r w:rsidR="009F7BED">
        <w:rPr>
          <w:rFonts w:ascii="Times New Roman" w:hAnsi="Times New Roman" w:cs="Times New Roman"/>
          <w:lang w:val="uk-UA"/>
        </w:rPr>
        <w:t>Як зазначено у Рекомендаціях</w:t>
      </w:r>
      <w:r w:rsidR="00795D66">
        <w:rPr>
          <w:rStyle w:val="aa"/>
          <w:rFonts w:ascii="Times New Roman" w:hAnsi="Times New Roman" w:cs="Times New Roman"/>
          <w:lang w:val="uk-UA"/>
        </w:rPr>
        <w:footnoteReference w:id="2"/>
      </w:r>
      <w:r w:rsidR="009F7BED">
        <w:rPr>
          <w:rFonts w:ascii="Times New Roman" w:hAnsi="Times New Roman" w:cs="Times New Roman"/>
          <w:lang w:val="uk-UA"/>
        </w:rPr>
        <w:t xml:space="preserve"> та Звітах ФАТФ</w:t>
      </w:r>
      <w:r w:rsidR="00795D66">
        <w:rPr>
          <w:rStyle w:val="aa"/>
          <w:rFonts w:ascii="Times New Roman" w:hAnsi="Times New Roman" w:cs="Times New Roman"/>
          <w:lang w:val="uk-UA"/>
        </w:rPr>
        <w:footnoteReference w:id="3"/>
      </w:r>
      <w:r w:rsidR="009F7BED">
        <w:rPr>
          <w:rFonts w:ascii="Times New Roman" w:hAnsi="Times New Roman" w:cs="Times New Roman"/>
          <w:lang w:val="uk-UA"/>
        </w:rPr>
        <w:t>, існують три основні групи ризиків відмивання коштів – географічний, клієнтський та операційний (рівень конкретної послуги). Оскільки цей підхід визнають більшість країн та науковців світу, фактори легалізації злочинних доходів також доцільно згрупувати аналогічним чином. Також слід зауважити, що три групи факторів – географічний, клієнтський, операційний – відповідають рівням протік</w:t>
      </w:r>
      <w:r w:rsidR="004663DC">
        <w:rPr>
          <w:rFonts w:ascii="Times New Roman" w:hAnsi="Times New Roman" w:cs="Times New Roman"/>
          <w:lang w:val="uk-UA"/>
        </w:rPr>
        <w:t>ання процесів відмивання коштів.</w:t>
      </w:r>
      <w:r w:rsidR="009F7BED">
        <w:rPr>
          <w:rFonts w:ascii="Times New Roman" w:hAnsi="Times New Roman" w:cs="Times New Roman"/>
          <w:lang w:val="uk-UA"/>
        </w:rPr>
        <w:t xml:space="preserve"> </w:t>
      </w:r>
      <w:r w:rsidR="004663DC">
        <w:rPr>
          <w:rFonts w:ascii="Times New Roman" w:hAnsi="Times New Roman" w:cs="Times New Roman"/>
          <w:lang w:val="uk-UA"/>
        </w:rPr>
        <w:t>Т</w:t>
      </w:r>
      <w:r w:rsidR="009F7BED">
        <w:rPr>
          <w:rFonts w:ascii="Times New Roman" w:hAnsi="Times New Roman" w:cs="Times New Roman"/>
          <w:lang w:val="uk-UA"/>
        </w:rPr>
        <w:t xml:space="preserve">обто географічні фактори, </w:t>
      </w:r>
      <w:r w:rsidR="009F7BED" w:rsidRPr="00537513">
        <w:rPr>
          <w:rFonts w:ascii="Times New Roman" w:hAnsi="Times New Roman" w:cs="Times New Roman"/>
          <w:lang w:val="uk-UA"/>
        </w:rPr>
        <w:t xml:space="preserve">пов’язані з </w:t>
      </w:r>
      <w:r w:rsidR="009F7BED" w:rsidRPr="00537513">
        <w:rPr>
          <w:rFonts w:ascii="Times New Roman" w:hAnsi="Times New Roman" w:cs="Times New Roman"/>
          <w:lang w:val="uk-UA"/>
        </w:rPr>
        <w:lastRenderedPageBreak/>
        <w:t>країною здійснення операції</w:t>
      </w:r>
      <w:r w:rsidR="009F7BED">
        <w:rPr>
          <w:rFonts w:ascii="Times New Roman" w:hAnsi="Times New Roman" w:cs="Times New Roman"/>
          <w:lang w:val="uk-UA"/>
        </w:rPr>
        <w:t>, і відповідають макроекономічному рівню, а також рівню взаємо</w:t>
      </w:r>
      <w:r w:rsidR="004663DC">
        <w:rPr>
          <w:rFonts w:ascii="Times New Roman" w:hAnsi="Times New Roman" w:cs="Times New Roman"/>
          <w:lang w:val="uk-UA"/>
        </w:rPr>
        <w:t>дії різних держав та юрисдикцій. К</w:t>
      </w:r>
      <w:r w:rsidR="009F7BED" w:rsidRPr="00537513">
        <w:rPr>
          <w:rFonts w:ascii="Times New Roman" w:hAnsi="Times New Roman" w:cs="Times New Roman"/>
          <w:lang w:val="uk-UA"/>
        </w:rPr>
        <w:t xml:space="preserve">лієнтські – </w:t>
      </w:r>
      <w:r w:rsidR="009F7BED">
        <w:rPr>
          <w:rFonts w:ascii="Times New Roman" w:hAnsi="Times New Roman" w:cs="Times New Roman"/>
          <w:lang w:val="uk-UA"/>
        </w:rPr>
        <w:t xml:space="preserve">це </w:t>
      </w:r>
      <w:r w:rsidR="009F7BED" w:rsidRPr="00537513">
        <w:rPr>
          <w:rFonts w:ascii="Times New Roman" w:hAnsi="Times New Roman" w:cs="Times New Roman"/>
          <w:lang w:val="uk-UA"/>
        </w:rPr>
        <w:t>фактори, пов’язані з ідентифікаційними даними  клієнта</w:t>
      </w:r>
      <w:r w:rsidR="009F7BED">
        <w:rPr>
          <w:rFonts w:ascii="Times New Roman" w:hAnsi="Times New Roman" w:cs="Times New Roman"/>
          <w:lang w:val="uk-UA"/>
        </w:rPr>
        <w:t xml:space="preserve">, його соціально-політичним статусом, компетенціями, </w:t>
      </w:r>
      <w:r w:rsidR="004663DC">
        <w:rPr>
          <w:rFonts w:ascii="Times New Roman" w:hAnsi="Times New Roman" w:cs="Times New Roman"/>
          <w:lang w:val="uk-UA"/>
        </w:rPr>
        <w:t xml:space="preserve"> – відповідають рівню економічного суб’єкта, наприклад, це може бути клієнт банку, страхової компанії, нотаріуса тощо, і всі ці суб’єкти мають </w:t>
      </w:r>
      <w:proofErr w:type="spellStart"/>
      <w:r w:rsidR="004663DC">
        <w:rPr>
          <w:rFonts w:ascii="Times New Roman" w:hAnsi="Times New Roman" w:cs="Times New Roman"/>
          <w:lang w:val="uk-UA"/>
        </w:rPr>
        <w:t>резидентність</w:t>
      </w:r>
      <w:proofErr w:type="spellEnd"/>
      <w:r w:rsidR="004663DC">
        <w:rPr>
          <w:rFonts w:ascii="Times New Roman" w:hAnsi="Times New Roman" w:cs="Times New Roman"/>
          <w:lang w:val="uk-UA"/>
        </w:rPr>
        <w:t>, тобто є особами, що зареєстровані на території певної держави, мають дотримуватись вимог та правил нормативно-правового регулювання діяльності, і пов’язують таким чином макроекономічний рівень з мікроекономічним. І останній рівень факторів – це операційний – такий, що відповідає певному фінансовому інструменту, який використовує клієнт для здійснення певних операцій, отримання послуг, кінцевою метою яких є відмиванн</w:t>
      </w:r>
      <w:r w:rsidR="0076594F">
        <w:rPr>
          <w:rFonts w:ascii="Times New Roman" w:hAnsi="Times New Roman" w:cs="Times New Roman"/>
          <w:lang w:val="uk-UA"/>
        </w:rPr>
        <w:t xml:space="preserve">я коштів. </w:t>
      </w:r>
    </w:p>
    <w:p w:rsidR="00A43BCE" w:rsidRDefault="004663DC"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Географічні фактори (або фактори країни) відмивання коштів відображають соціально-економічні, політичні, нормативно-правові умови, що склалися у певній державі</w:t>
      </w:r>
      <w:r w:rsidR="001D070A">
        <w:rPr>
          <w:rFonts w:ascii="Times New Roman" w:hAnsi="Times New Roman" w:cs="Times New Roman"/>
          <w:lang w:val="uk-UA"/>
        </w:rPr>
        <w:t xml:space="preserve"> та є умовами функціонування всіх суб’єктів цієї держави.</w:t>
      </w:r>
      <w:r w:rsidR="00A43BCE">
        <w:rPr>
          <w:rFonts w:ascii="Times New Roman" w:hAnsi="Times New Roman" w:cs="Times New Roman"/>
          <w:lang w:val="uk-UA"/>
        </w:rPr>
        <w:t xml:space="preserve"> Узагальнення та структуризація інформації з різних джерел щодо чинників </w:t>
      </w:r>
      <w:r w:rsidR="0029432C">
        <w:rPr>
          <w:rFonts w:ascii="Times New Roman" w:hAnsi="Times New Roman" w:cs="Times New Roman"/>
          <w:lang w:val="uk-UA"/>
        </w:rPr>
        <w:t xml:space="preserve">країни </w:t>
      </w:r>
      <w:r w:rsidR="00A43BCE">
        <w:rPr>
          <w:rFonts w:ascii="Times New Roman" w:hAnsi="Times New Roman" w:cs="Times New Roman"/>
          <w:lang w:val="uk-UA"/>
        </w:rPr>
        <w:t>легалізації злочинних доходів дозволяє сформувати такий перелік основних груп факторів:</w:t>
      </w:r>
      <w:r w:rsidR="00C16B41">
        <w:rPr>
          <w:rFonts w:ascii="Times New Roman" w:hAnsi="Times New Roman" w:cs="Times New Roman"/>
          <w:lang w:val="uk-UA"/>
        </w:rPr>
        <w:t xml:space="preserve"> економічні, політичні, нормативно-правові.</w:t>
      </w:r>
    </w:p>
    <w:p w:rsidR="00A43BCE" w:rsidRPr="00C16B41" w:rsidRDefault="00C16B41"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До групи економічних факторів належать: рівень офіційних доходів населення, наявність та обсяги неофіційних доходів або рівень тіньової економіки. Так, р</w:t>
      </w:r>
      <w:r w:rsidR="000C4DB9" w:rsidRPr="00C16B41">
        <w:rPr>
          <w:rFonts w:ascii="Times New Roman" w:hAnsi="Times New Roman" w:cs="Times New Roman"/>
          <w:lang w:val="uk-UA"/>
        </w:rPr>
        <w:t>івень офіційних доходів населення країни є дестимулятором процесів відмивання коштів: чим вищі офіційні доходи, тим нижчими є обсяги (наміри) відмивання коштів. Наявність та обсяги неофіційних доходів населення, кримінальних доходів злочинних угрупувань. Цей фактор є стимулятором відмивання коштів: чим вищий рівень тіньової економіки країни, тим вищими є ризики відмивання грошей.</w:t>
      </w:r>
    </w:p>
    <w:p w:rsidR="000C4DB9" w:rsidRDefault="001156B6"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 xml:space="preserve">Виміряти рівень офіційних доходів населення можна за допомогою відповідних статистичних показників, наприклад, середньомісячна </w:t>
      </w:r>
      <w:r w:rsidR="00456AF2">
        <w:rPr>
          <w:rFonts w:ascii="Times New Roman" w:hAnsi="Times New Roman" w:cs="Times New Roman"/>
          <w:lang w:val="uk-UA"/>
        </w:rPr>
        <w:t xml:space="preserve">або середня річна </w:t>
      </w:r>
      <w:r>
        <w:rPr>
          <w:rFonts w:ascii="Times New Roman" w:hAnsi="Times New Roman" w:cs="Times New Roman"/>
          <w:lang w:val="uk-UA"/>
        </w:rPr>
        <w:t xml:space="preserve">заробітна плата громадян, валовий внутрішній продукт на душу </w:t>
      </w:r>
      <w:r w:rsidR="00456AF2">
        <w:rPr>
          <w:rFonts w:ascii="Times New Roman" w:hAnsi="Times New Roman" w:cs="Times New Roman"/>
          <w:lang w:val="uk-UA"/>
        </w:rPr>
        <w:t xml:space="preserve">населення. Дані щодо цих показників в України за </w:t>
      </w:r>
      <w:r w:rsidR="00D36043">
        <w:rPr>
          <w:rFonts w:ascii="Times New Roman" w:hAnsi="Times New Roman" w:cs="Times New Roman"/>
          <w:lang w:val="uk-UA"/>
        </w:rPr>
        <w:t>2011-2016</w:t>
      </w:r>
      <w:r w:rsidR="00456AF2">
        <w:rPr>
          <w:rFonts w:ascii="Times New Roman" w:hAnsi="Times New Roman" w:cs="Times New Roman"/>
          <w:lang w:val="uk-UA"/>
        </w:rPr>
        <w:t xml:space="preserve"> рок</w:t>
      </w:r>
      <w:r w:rsidR="00D36043">
        <w:rPr>
          <w:rFonts w:ascii="Times New Roman" w:hAnsi="Times New Roman" w:cs="Times New Roman"/>
          <w:lang w:val="uk-UA"/>
        </w:rPr>
        <w:t>и</w:t>
      </w:r>
      <w:r w:rsidR="00456AF2">
        <w:rPr>
          <w:rFonts w:ascii="Times New Roman" w:hAnsi="Times New Roman" w:cs="Times New Roman"/>
          <w:lang w:val="uk-UA"/>
        </w:rPr>
        <w:t xml:space="preserve"> наведені в табл. 1.</w:t>
      </w:r>
    </w:p>
    <w:p w:rsidR="00456AF2" w:rsidRDefault="00456AF2" w:rsidP="004577CE">
      <w:pPr>
        <w:pStyle w:val="a3"/>
        <w:widowControl w:val="0"/>
        <w:spacing w:line="360" w:lineRule="auto"/>
        <w:ind w:left="0" w:firstLine="709"/>
        <w:jc w:val="right"/>
        <w:rPr>
          <w:rFonts w:ascii="Times New Roman" w:hAnsi="Times New Roman" w:cs="Times New Roman"/>
          <w:lang w:val="uk-UA"/>
        </w:rPr>
      </w:pPr>
      <w:r>
        <w:rPr>
          <w:rFonts w:ascii="Times New Roman" w:hAnsi="Times New Roman" w:cs="Times New Roman"/>
          <w:lang w:val="uk-UA"/>
        </w:rPr>
        <w:lastRenderedPageBreak/>
        <w:t>Таблиця 1</w:t>
      </w:r>
    </w:p>
    <w:p w:rsidR="005F5EC1" w:rsidRDefault="007C7697" w:rsidP="004577CE">
      <w:pPr>
        <w:pStyle w:val="a3"/>
        <w:widowControl w:val="0"/>
        <w:spacing w:line="360" w:lineRule="auto"/>
        <w:ind w:left="0" w:firstLine="709"/>
        <w:jc w:val="center"/>
        <w:rPr>
          <w:rFonts w:ascii="Times New Roman" w:hAnsi="Times New Roman" w:cs="Times New Roman"/>
          <w:lang w:val="uk-UA"/>
        </w:rPr>
      </w:pPr>
      <w:r>
        <w:rPr>
          <w:rFonts w:ascii="Times New Roman" w:hAnsi="Times New Roman" w:cs="Times New Roman"/>
          <w:lang w:val="uk-UA"/>
        </w:rPr>
        <w:t>Показники, що відображають основні економічні фактори легалізації злочинних доходів</w:t>
      </w:r>
      <w:r w:rsidR="00F846A0">
        <w:rPr>
          <w:rFonts w:ascii="Times New Roman" w:hAnsi="Times New Roman" w:cs="Times New Roman"/>
          <w:lang w:val="uk-UA"/>
        </w:rPr>
        <w:t xml:space="preserve"> за даними України у 2011-2016 рр.</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2"/>
        <w:gridCol w:w="1134"/>
        <w:gridCol w:w="996"/>
        <w:gridCol w:w="1104"/>
        <w:gridCol w:w="1056"/>
        <w:gridCol w:w="1093"/>
      </w:tblGrid>
      <w:tr w:rsidR="005F5EC1" w:rsidRPr="00D36043" w:rsidTr="005E0E48">
        <w:trPr>
          <w:trHeight w:val="510"/>
        </w:trPr>
        <w:tc>
          <w:tcPr>
            <w:tcW w:w="3402" w:type="dxa"/>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Показник</w:t>
            </w:r>
          </w:p>
        </w:tc>
        <w:tc>
          <w:tcPr>
            <w:tcW w:w="1132"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2011</w:t>
            </w:r>
          </w:p>
        </w:tc>
        <w:tc>
          <w:tcPr>
            <w:tcW w:w="1134"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2012</w:t>
            </w:r>
          </w:p>
        </w:tc>
        <w:tc>
          <w:tcPr>
            <w:tcW w:w="996"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2013</w:t>
            </w:r>
          </w:p>
        </w:tc>
        <w:tc>
          <w:tcPr>
            <w:tcW w:w="1104"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2014</w:t>
            </w:r>
          </w:p>
        </w:tc>
        <w:tc>
          <w:tcPr>
            <w:tcW w:w="1056"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2015</w:t>
            </w:r>
          </w:p>
        </w:tc>
        <w:tc>
          <w:tcPr>
            <w:tcW w:w="1093" w:type="dxa"/>
            <w:shd w:val="clear" w:color="auto" w:fill="auto"/>
            <w:noWrap/>
            <w:vAlign w:val="center"/>
          </w:tcPr>
          <w:p w:rsidR="00D36043" w:rsidRPr="00D36043" w:rsidRDefault="00D36043" w:rsidP="004577CE">
            <w:pPr>
              <w:widowControl w:val="0"/>
              <w:jc w:val="center"/>
              <w:rPr>
                <w:rFonts w:ascii="Times New Roman" w:eastAsia="Times New Roman" w:hAnsi="Times New Roman" w:cs="Times New Roman"/>
                <w:sz w:val="24"/>
                <w:szCs w:val="24"/>
                <w:lang w:val="uk-UA" w:eastAsia="ru-RU"/>
              </w:rPr>
            </w:pPr>
            <w:r w:rsidRPr="00D36043">
              <w:rPr>
                <w:rFonts w:ascii="Times New Roman" w:eastAsia="Times New Roman" w:hAnsi="Times New Roman" w:cs="Times New Roman"/>
                <w:sz w:val="24"/>
                <w:szCs w:val="24"/>
                <w:lang w:val="uk-UA" w:eastAsia="ru-RU"/>
              </w:rPr>
              <w:t>2016</w:t>
            </w:r>
          </w:p>
        </w:tc>
      </w:tr>
      <w:tr w:rsidR="005F5EC1" w:rsidRPr="00D36043" w:rsidTr="005E0E48">
        <w:trPr>
          <w:trHeight w:val="510"/>
        </w:trPr>
        <w:tc>
          <w:tcPr>
            <w:tcW w:w="3402" w:type="dxa"/>
            <w:vAlign w:val="center"/>
          </w:tcPr>
          <w:p w:rsidR="00D36043" w:rsidRPr="005F5EC1" w:rsidRDefault="00D36043" w:rsidP="004577CE">
            <w:pPr>
              <w:widowControl w:val="0"/>
              <w:rPr>
                <w:rFonts w:ascii="Times New Roman" w:hAnsi="Times New Roman" w:cs="Times New Roman"/>
                <w:sz w:val="24"/>
                <w:szCs w:val="24"/>
                <w:lang w:val="uk-UA"/>
              </w:rPr>
            </w:pPr>
            <w:r w:rsidRPr="005F5EC1">
              <w:rPr>
                <w:rFonts w:ascii="Times New Roman" w:hAnsi="Times New Roman" w:cs="Times New Roman"/>
                <w:sz w:val="24"/>
                <w:szCs w:val="24"/>
                <w:lang w:val="uk-UA"/>
              </w:rPr>
              <w:t>ВВП на душу населення, грн. на 1 особу</w:t>
            </w:r>
          </w:p>
        </w:tc>
        <w:tc>
          <w:tcPr>
            <w:tcW w:w="1132"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28397</w:t>
            </w:r>
          </w:p>
        </w:tc>
        <w:tc>
          <w:tcPr>
            <w:tcW w:w="1134"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30781</w:t>
            </w:r>
          </w:p>
        </w:tc>
        <w:tc>
          <w:tcPr>
            <w:tcW w:w="996"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32165</w:t>
            </w:r>
          </w:p>
        </w:tc>
        <w:tc>
          <w:tcPr>
            <w:tcW w:w="1104"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34934</w:t>
            </w:r>
          </w:p>
        </w:tc>
        <w:tc>
          <w:tcPr>
            <w:tcW w:w="1056"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46321</w:t>
            </w:r>
          </w:p>
        </w:tc>
        <w:tc>
          <w:tcPr>
            <w:tcW w:w="1093"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55733</w:t>
            </w:r>
          </w:p>
        </w:tc>
      </w:tr>
      <w:tr w:rsidR="005F5EC1" w:rsidRPr="00D36043" w:rsidTr="005E0E48">
        <w:trPr>
          <w:trHeight w:val="510"/>
        </w:trPr>
        <w:tc>
          <w:tcPr>
            <w:tcW w:w="3402" w:type="dxa"/>
            <w:vAlign w:val="center"/>
          </w:tcPr>
          <w:p w:rsidR="00D36043" w:rsidRPr="005F5EC1" w:rsidRDefault="00D36043" w:rsidP="004577CE">
            <w:pPr>
              <w:widowControl w:val="0"/>
              <w:rPr>
                <w:rFonts w:ascii="Times New Roman" w:hAnsi="Times New Roman" w:cs="Times New Roman"/>
                <w:sz w:val="24"/>
                <w:szCs w:val="24"/>
                <w:lang w:val="uk-UA"/>
              </w:rPr>
            </w:pPr>
            <w:r w:rsidRPr="005F5EC1">
              <w:rPr>
                <w:rFonts w:ascii="Times New Roman" w:hAnsi="Times New Roman" w:cs="Times New Roman"/>
                <w:sz w:val="24"/>
                <w:szCs w:val="24"/>
                <w:lang w:val="uk-UA"/>
              </w:rPr>
              <w:t xml:space="preserve">ВВП на душу населення, </w:t>
            </w:r>
            <w:proofErr w:type="spellStart"/>
            <w:r w:rsidRPr="005F5EC1">
              <w:rPr>
                <w:rFonts w:ascii="Times New Roman" w:hAnsi="Times New Roman" w:cs="Times New Roman"/>
                <w:sz w:val="24"/>
                <w:szCs w:val="24"/>
                <w:lang w:val="uk-UA"/>
              </w:rPr>
              <w:t>дол</w:t>
            </w:r>
            <w:proofErr w:type="spellEnd"/>
            <w:r w:rsidRPr="005F5EC1">
              <w:rPr>
                <w:rFonts w:ascii="Times New Roman" w:hAnsi="Times New Roman" w:cs="Times New Roman"/>
                <w:sz w:val="24"/>
                <w:szCs w:val="24"/>
                <w:lang w:val="uk-UA"/>
              </w:rPr>
              <w:t>. на 1 особу</w:t>
            </w:r>
          </w:p>
        </w:tc>
        <w:tc>
          <w:tcPr>
            <w:tcW w:w="1132"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3563</w:t>
            </w:r>
          </w:p>
        </w:tc>
        <w:tc>
          <w:tcPr>
            <w:tcW w:w="113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3853</w:t>
            </w:r>
          </w:p>
        </w:tc>
        <w:tc>
          <w:tcPr>
            <w:tcW w:w="99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4025,62</w:t>
            </w:r>
          </w:p>
        </w:tc>
        <w:tc>
          <w:tcPr>
            <w:tcW w:w="110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2940,57</w:t>
            </w:r>
          </w:p>
        </w:tc>
        <w:tc>
          <w:tcPr>
            <w:tcW w:w="105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2120,94</w:t>
            </w:r>
          </w:p>
        </w:tc>
        <w:tc>
          <w:tcPr>
            <w:tcW w:w="1093"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2181</w:t>
            </w:r>
          </w:p>
        </w:tc>
      </w:tr>
      <w:tr w:rsidR="005F5EC1" w:rsidRPr="00D36043" w:rsidTr="005E0E48">
        <w:trPr>
          <w:trHeight w:val="255"/>
        </w:trPr>
        <w:tc>
          <w:tcPr>
            <w:tcW w:w="3402" w:type="dxa"/>
            <w:vAlign w:val="center"/>
          </w:tcPr>
          <w:p w:rsidR="00D36043" w:rsidRPr="005F5EC1" w:rsidRDefault="00D36043" w:rsidP="004577CE">
            <w:pPr>
              <w:widowControl w:val="0"/>
              <w:rPr>
                <w:rFonts w:ascii="Times New Roman" w:hAnsi="Times New Roman" w:cs="Times New Roman"/>
                <w:sz w:val="24"/>
                <w:szCs w:val="24"/>
                <w:lang w:val="uk-UA"/>
              </w:rPr>
            </w:pPr>
            <w:r w:rsidRPr="005F5EC1">
              <w:rPr>
                <w:rFonts w:ascii="Times New Roman" w:hAnsi="Times New Roman" w:cs="Times New Roman"/>
                <w:sz w:val="24"/>
                <w:szCs w:val="24"/>
                <w:lang w:val="uk-UA"/>
              </w:rPr>
              <w:t>Середньомісячна заробітна плата, грн.</w:t>
            </w:r>
          </w:p>
        </w:tc>
        <w:tc>
          <w:tcPr>
            <w:tcW w:w="1132"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2648</w:t>
            </w:r>
          </w:p>
        </w:tc>
        <w:tc>
          <w:tcPr>
            <w:tcW w:w="113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3041</w:t>
            </w:r>
          </w:p>
        </w:tc>
        <w:tc>
          <w:tcPr>
            <w:tcW w:w="99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3282</w:t>
            </w:r>
          </w:p>
        </w:tc>
        <w:tc>
          <w:tcPr>
            <w:tcW w:w="110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3480</w:t>
            </w:r>
          </w:p>
        </w:tc>
        <w:tc>
          <w:tcPr>
            <w:tcW w:w="105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4195</w:t>
            </w:r>
          </w:p>
        </w:tc>
        <w:tc>
          <w:tcPr>
            <w:tcW w:w="1093" w:type="dxa"/>
            <w:shd w:val="clear" w:color="auto" w:fill="auto"/>
            <w:noWrap/>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5419</w:t>
            </w:r>
          </w:p>
        </w:tc>
      </w:tr>
      <w:tr w:rsidR="005F5EC1" w:rsidRPr="00D36043" w:rsidTr="005E0E48">
        <w:trPr>
          <w:trHeight w:val="270"/>
        </w:trPr>
        <w:tc>
          <w:tcPr>
            <w:tcW w:w="3402" w:type="dxa"/>
            <w:vAlign w:val="center"/>
          </w:tcPr>
          <w:p w:rsidR="00D36043" w:rsidRPr="005F5EC1" w:rsidRDefault="00D36043" w:rsidP="004577CE">
            <w:pPr>
              <w:widowControl w:val="0"/>
              <w:rPr>
                <w:rFonts w:ascii="Times New Roman" w:hAnsi="Times New Roman" w:cs="Times New Roman"/>
                <w:sz w:val="24"/>
                <w:szCs w:val="24"/>
                <w:lang w:val="uk-UA"/>
              </w:rPr>
            </w:pPr>
            <w:r w:rsidRPr="005F5EC1">
              <w:rPr>
                <w:rFonts w:ascii="Times New Roman" w:hAnsi="Times New Roman" w:cs="Times New Roman"/>
                <w:sz w:val="24"/>
                <w:szCs w:val="24"/>
                <w:lang w:val="uk-UA"/>
              </w:rPr>
              <w:t>Середня річна заробітна плата, грн.</w:t>
            </w:r>
          </w:p>
        </w:tc>
        <w:tc>
          <w:tcPr>
            <w:tcW w:w="1132"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31776</w:t>
            </w:r>
          </w:p>
        </w:tc>
        <w:tc>
          <w:tcPr>
            <w:tcW w:w="113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36492</w:t>
            </w:r>
          </w:p>
        </w:tc>
        <w:tc>
          <w:tcPr>
            <w:tcW w:w="99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39384</w:t>
            </w:r>
          </w:p>
        </w:tc>
        <w:tc>
          <w:tcPr>
            <w:tcW w:w="1104"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41760</w:t>
            </w:r>
          </w:p>
        </w:tc>
        <w:tc>
          <w:tcPr>
            <w:tcW w:w="1056"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50340</w:t>
            </w:r>
          </w:p>
        </w:tc>
        <w:tc>
          <w:tcPr>
            <w:tcW w:w="1093" w:type="dxa"/>
            <w:shd w:val="clear" w:color="auto" w:fill="auto"/>
            <w:vAlign w:val="center"/>
            <w:hideMark/>
          </w:tcPr>
          <w:p w:rsidR="00D36043" w:rsidRPr="00D36043" w:rsidRDefault="00D36043"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65028</w:t>
            </w:r>
          </w:p>
        </w:tc>
      </w:tr>
      <w:tr w:rsidR="007C7697" w:rsidRPr="00D36043" w:rsidTr="005E0E48">
        <w:trPr>
          <w:trHeight w:val="270"/>
        </w:trPr>
        <w:tc>
          <w:tcPr>
            <w:tcW w:w="3402" w:type="dxa"/>
            <w:vAlign w:val="bottom"/>
          </w:tcPr>
          <w:p w:rsidR="007C7697" w:rsidRPr="007C7697" w:rsidRDefault="007C7697" w:rsidP="004577CE">
            <w:pPr>
              <w:widowControl w:val="0"/>
              <w:rPr>
                <w:rFonts w:ascii="Times New Roman" w:hAnsi="Times New Roman" w:cs="Times New Roman"/>
                <w:sz w:val="24"/>
                <w:szCs w:val="24"/>
                <w:lang w:val="uk-UA"/>
              </w:rPr>
            </w:pPr>
            <w:r w:rsidRPr="007C7697">
              <w:rPr>
                <w:rFonts w:ascii="Times New Roman" w:hAnsi="Times New Roman" w:cs="Times New Roman"/>
                <w:sz w:val="24"/>
                <w:szCs w:val="24"/>
                <w:lang w:val="uk-UA"/>
              </w:rPr>
              <w:t>Рівень тіньової економіки: відсоток від ВВП</w:t>
            </w:r>
          </w:p>
        </w:tc>
        <w:tc>
          <w:tcPr>
            <w:tcW w:w="1132"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34</w:t>
            </w:r>
          </w:p>
        </w:tc>
        <w:tc>
          <w:tcPr>
            <w:tcW w:w="1134"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34</w:t>
            </w:r>
          </w:p>
        </w:tc>
        <w:tc>
          <w:tcPr>
            <w:tcW w:w="996"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35</w:t>
            </w:r>
          </w:p>
        </w:tc>
        <w:tc>
          <w:tcPr>
            <w:tcW w:w="1104"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43</w:t>
            </w:r>
          </w:p>
        </w:tc>
        <w:tc>
          <w:tcPr>
            <w:tcW w:w="1056"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40</w:t>
            </w:r>
          </w:p>
        </w:tc>
        <w:tc>
          <w:tcPr>
            <w:tcW w:w="1093" w:type="dxa"/>
            <w:shd w:val="clear" w:color="auto" w:fill="auto"/>
            <w:noWrap/>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34</w:t>
            </w:r>
          </w:p>
        </w:tc>
      </w:tr>
      <w:tr w:rsidR="007C7697" w:rsidRPr="00D36043" w:rsidTr="005E0E48">
        <w:trPr>
          <w:trHeight w:val="270"/>
        </w:trPr>
        <w:tc>
          <w:tcPr>
            <w:tcW w:w="3402" w:type="dxa"/>
            <w:vAlign w:val="bottom"/>
          </w:tcPr>
          <w:p w:rsidR="007C7697" w:rsidRPr="007C7697" w:rsidRDefault="007C7697" w:rsidP="004577CE">
            <w:pPr>
              <w:widowControl w:val="0"/>
              <w:rPr>
                <w:rFonts w:ascii="Times New Roman" w:hAnsi="Times New Roman" w:cs="Times New Roman"/>
                <w:sz w:val="24"/>
                <w:szCs w:val="24"/>
                <w:lang w:val="uk-UA"/>
              </w:rPr>
            </w:pPr>
            <w:r w:rsidRPr="007C7697">
              <w:rPr>
                <w:rFonts w:ascii="Times New Roman" w:hAnsi="Times New Roman" w:cs="Times New Roman"/>
                <w:sz w:val="24"/>
                <w:szCs w:val="24"/>
                <w:lang w:val="uk-UA"/>
              </w:rPr>
              <w:t>Обсяги тіньової економіки, млн. грн.</w:t>
            </w:r>
          </w:p>
        </w:tc>
        <w:tc>
          <w:tcPr>
            <w:tcW w:w="1132"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441997</w:t>
            </w:r>
          </w:p>
        </w:tc>
        <w:tc>
          <w:tcPr>
            <w:tcW w:w="1134"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477587</w:t>
            </w:r>
          </w:p>
        </w:tc>
        <w:tc>
          <w:tcPr>
            <w:tcW w:w="996"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512819</w:t>
            </w:r>
          </w:p>
        </w:tc>
        <w:tc>
          <w:tcPr>
            <w:tcW w:w="1104"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682373</w:t>
            </w:r>
          </w:p>
        </w:tc>
        <w:tc>
          <w:tcPr>
            <w:tcW w:w="1056" w:type="dxa"/>
            <w:shd w:val="clear" w:color="auto" w:fill="auto"/>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795418</w:t>
            </w:r>
          </w:p>
        </w:tc>
        <w:tc>
          <w:tcPr>
            <w:tcW w:w="1093" w:type="dxa"/>
            <w:shd w:val="clear" w:color="auto" w:fill="auto"/>
            <w:noWrap/>
            <w:vAlign w:val="center"/>
          </w:tcPr>
          <w:p w:rsidR="007C7697" w:rsidRPr="007C7697" w:rsidRDefault="007C7697" w:rsidP="004577CE">
            <w:pPr>
              <w:widowControl w:val="0"/>
              <w:jc w:val="right"/>
              <w:rPr>
                <w:rFonts w:ascii="Times New Roman" w:hAnsi="Times New Roman" w:cs="Times New Roman"/>
                <w:sz w:val="24"/>
                <w:szCs w:val="24"/>
              </w:rPr>
            </w:pPr>
            <w:r w:rsidRPr="007C7697">
              <w:rPr>
                <w:rFonts w:ascii="Times New Roman" w:hAnsi="Times New Roman" w:cs="Times New Roman"/>
                <w:sz w:val="24"/>
                <w:szCs w:val="24"/>
              </w:rPr>
              <w:t>810282</w:t>
            </w:r>
          </w:p>
        </w:tc>
      </w:tr>
      <w:tr w:rsidR="007C7697" w:rsidRPr="00D36043" w:rsidTr="005E0E48">
        <w:trPr>
          <w:trHeight w:val="270"/>
        </w:trPr>
        <w:tc>
          <w:tcPr>
            <w:tcW w:w="3402" w:type="dxa"/>
            <w:vAlign w:val="center"/>
          </w:tcPr>
          <w:p w:rsidR="007C7697" w:rsidRPr="005F5EC1" w:rsidRDefault="007C7697" w:rsidP="004577CE">
            <w:pPr>
              <w:widowControl w:val="0"/>
              <w:rPr>
                <w:rFonts w:ascii="Times New Roman" w:hAnsi="Times New Roman" w:cs="Times New Roman"/>
                <w:sz w:val="24"/>
                <w:szCs w:val="24"/>
                <w:lang w:val="uk-UA"/>
              </w:rPr>
            </w:pPr>
            <w:r w:rsidRPr="005F5EC1">
              <w:rPr>
                <w:rFonts w:ascii="Times New Roman" w:hAnsi="Times New Roman" w:cs="Times New Roman"/>
                <w:sz w:val="24"/>
                <w:szCs w:val="24"/>
                <w:shd w:val="clear" w:color="auto" w:fill="FFFFFF"/>
                <w:lang w:val="uk-UA"/>
              </w:rPr>
              <w:t>Кількість повідомлень про операції, що підлягають фінансовому моніторингу, одиниць</w:t>
            </w:r>
          </w:p>
        </w:tc>
        <w:tc>
          <w:tcPr>
            <w:tcW w:w="1132" w:type="dxa"/>
            <w:shd w:val="clear" w:color="auto" w:fill="auto"/>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1095883</w:t>
            </w:r>
          </w:p>
        </w:tc>
        <w:tc>
          <w:tcPr>
            <w:tcW w:w="1134" w:type="dxa"/>
            <w:shd w:val="clear" w:color="auto" w:fill="auto"/>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975399</w:t>
            </w:r>
          </w:p>
        </w:tc>
        <w:tc>
          <w:tcPr>
            <w:tcW w:w="996" w:type="dxa"/>
            <w:shd w:val="clear" w:color="auto" w:fill="auto"/>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990337</w:t>
            </w:r>
          </w:p>
        </w:tc>
        <w:tc>
          <w:tcPr>
            <w:tcW w:w="1104" w:type="dxa"/>
            <w:shd w:val="clear" w:color="auto" w:fill="auto"/>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1299324</w:t>
            </w:r>
          </w:p>
        </w:tc>
        <w:tc>
          <w:tcPr>
            <w:tcW w:w="1056" w:type="dxa"/>
            <w:shd w:val="clear" w:color="auto" w:fill="auto"/>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sidRPr="00D36043">
              <w:rPr>
                <w:rFonts w:ascii="Times New Roman" w:eastAsia="Times New Roman" w:hAnsi="Times New Roman" w:cs="Times New Roman"/>
                <w:sz w:val="24"/>
                <w:szCs w:val="24"/>
                <w:lang w:eastAsia="ru-RU"/>
              </w:rPr>
              <w:t>4357117</w:t>
            </w:r>
          </w:p>
        </w:tc>
        <w:tc>
          <w:tcPr>
            <w:tcW w:w="1093" w:type="dxa"/>
            <w:shd w:val="clear" w:color="auto" w:fill="auto"/>
            <w:noWrap/>
            <w:vAlign w:val="center"/>
          </w:tcPr>
          <w:p w:rsidR="007C7697" w:rsidRPr="00D36043" w:rsidRDefault="007C7697" w:rsidP="004577CE">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6383147</w:t>
            </w:r>
          </w:p>
        </w:tc>
      </w:tr>
    </w:tbl>
    <w:p w:rsidR="00D36043" w:rsidRDefault="00D36043" w:rsidP="004577CE">
      <w:pPr>
        <w:pStyle w:val="a3"/>
        <w:widowControl w:val="0"/>
        <w:spacing w:line="360" w:lineRule="auto"/>
        <w:ind w:left="0" w:firstLine="709"/>
        <w:jc w:val="right"/>
        <w:rPr>
          <w:rFonts w:ascii="Times New Roman" w:hAnsi="Times New Roman" w:cs="Times New Roman"/>
          <w:lang w:val="uk-UA"/>
        </w:rPr>
      </w:pPr>
    </w:p>
    <w:p w:rsidR="007C7697" w:rsidRDefault="007C7697"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Для перевірки наявності впливу показників, поданих в табл. 1 на процеси відмивання коштів, скористаємось коефіцієнтами парної кореляції</w:t>
      </w:r>
      <w:r w:rsidR="002145FA">
        <w:rPr>
          <w:rFonts w:ascii="Times New Roman" w:hAnsi="Times New Roman" w:cs="Times New Roman"/>
          <w:lang w:val="uk-UA"/>
        </w:rPr>
        <w:t xml:space="preserve">. Наприклад, </w:t>
      </w:r>
      <w:r w:rsidR="00147116">
        <w:rPr>
          <w:rFonts w:ascii="Times New Roman" w:hAnsi="Times New Roman" w:cs="Times New Roman"/>
          <w:lang w:val="uk-UA"/>
        </w:rPr>
        <w:t xml:space="preserve">значення </w:t>
      </w:r>
      <w:r w:rsidR="002145FA">
        <w:rPr>
          <w:rFonts w:ascii="Times New Roman" w:hAnsi="Times New Roman" w:cs="Times New Roman"/>
          <w:lang w:val="uk-UA"/>
        </w:rPr>
        <w:t>коефіцієнта парної кореляції між обсягами тіньової економіки та кількістю повідомлень про операції, що підлягають фінансовому моніторингу, становить 0,86, що статистично значимим показником.</w:t>
      </w:r>
      <w:r>
        <w:rPr>
          <w:rFonts w:ascii="Times New Roman" w:hAnsi="Times New Roman" w:cs="Times New Roman"/>
          <w:lang w:val="uk-UA"/>
        </w:rPr>
        <w:t xml:space="preserve"> </w:t>
      </w:r>
    </w:p>
    <w:p w:rsidR="002145FA" w:rsidRDefault="007C7697"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 </w:t>
      </w:r>
      <w:r w:rsidR="002145FA">
        <w:rPr>
          <w:rFonts w:ascii="Times New Roman" w:hAnsi="Times New Roman" w:cs="Times New Roman"/>
          <w:lang w:val="uk-UA"/>
        </w:rPr>
        <w:t>З точки зору вимірювання та оцінювання факторів країни на міжнародному рівні доцільно звернутися до порівняльного підходу та використати міжнародні офіційні рейтинги, що будуються визнаними міжнародними організаціями, об’єднаннями, асоціаціями або групами вчених. Так, якщо скористатись даними журналу Форбс</w:t>
      </w:r>
      <w:r w:rsidR="004577CE">
        <w:rPr>
          <w:rStyle w:val="aa"/>
          <w:rFonts w:ascii="Times New Roman" w:hAnsi="Times New Roman" w:cs="Times New Roman"/>
          <w:lang w:val="uk-UA"/>
        </w:rPr>
        <w:footnoteReference w:id="4"/>
      </w:r>
      <w:r w:rsidR="002145FA">
        <w:rPr>
          <w:rFonts w:ascii="Times New Roman" w:hAnsi="Times New Roman" w:cs="Times New Roman"/>
          <w:lang w:val="uk-UA"/>
        </w:rPr>
        <w:t xml:space="preserve"> щодо рівня тіньової економіки окремих країн у 2017 році та порівняти його з даними щодо України, то стане зрозумілим, що </w:t>
      </w:r>
      <w:r w:rsidR="0040135B">
        <w:rPr>
          <w:rFonts w:ascii="Times New Roman" w:hAnsi="Times New Roman" w:cs="Times New Roman"/>
          <w:lang w:val="uk-UA"/>
        </w:rPr>
        <w:t>українська економіка має значно вищий рівень тінізації: у 6,3 рази більший за рівень тінізації економіки США, у 5,7 разів більший у порівнянні з економікою Швейцарії та у 1,6 разів вищий  - ніж у Греції (рис. 1).</w:t>
      </w:r>
    </w:p>
    <w:p w:rsidR="0040135B" w:rsidRPr="0040135B" w:rsidRDefault="00C16B41" w:rsidP="004577CE">
      <w:pPr>
        <w:widowControl w:val="0"/>
        <w:spacing w:line="360" w:lineRule="auto"/>
        <w:jc w:val="both"/>
        <w:rPr>
          <w:rFonts w:ascii="Times New Roman" w:hAnsi="Times New Roman" w:cs="Times New Roman"/>
          <w:lang w:val="uk-UA"/>
        </w:rPr>
      </w:pPr>
      <w:r>
        <w:rPr>
          <w:noProof/>
          <w:lang w:eastAsia="ru-RU"/>
        </w:rPr>
        <w:lastRenderedPageBreak/>
        <w:drawing>
          <wp:inline distT="0" distB="0" distL="0" distR="0" wp14:anchorId="7B2F2586" wp14:editId="6D04542B">
            <wp:extent cx="5940425" cy="3479800"/>
            <wp:effectExtent l="0" t="0" r="317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6B41" w:rsidRDefault="00C16B41"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Рис. 1. Рівень тіньової економіки окремих країн світу у 2017 році</w:t>
      </w:r>
    </w:p>
    <w:p w:rsidR="00C16B41" w:rsidRDefault="00C16B41" w:rsidP="004577CE">
      <w:pPr>
        <w:pStyle w:val="a3"/>
        <w:widowControl w:val="0"/>
        <w:spacing w:line="360" w:lineRule="auto"/>
        <w:ind w:left="0" w:firstLine="709"/>
        <w:jc w:val="both"/>
        <w:rPr>
          <w:rFonts w:ascii="Times New Roman" w:hAnsi="Times New Roman" w:cs="Times New Roman"/>
          <w:lang w:val="uk-UA"/>
        </w:rPr>
      </w:pPr>
    </w:p>
    <w:p w:rsidR="00C16B41" w:rsidRDefault="00203189" w:rsidP="004577CE">
      <w:pPr>
        <w:pStyle w:val="a3"/>
        <w:widowControl w:val="0"/>
        <w:spacing w:line="360" w:lineRule="auto"/>
        <w:ind w:left="0" w:firstLine="709"/>
        <w:jc w:val="both"/>
        <w:rPr>
          <w:rFonts w:ascii="Times New Roman" w:hAnsi="Times New Roman" w:cs="Times New Roman"/>
          <w:lang w:val="uk-UA"/>
        </w:rPr>
      </w:pPr>
      <w:r w:rsidRPr="00F61554">
        <w:rPr>
          <w:rFonts w:ascii="Times New Roman" w:hAnsi="Times New Roman" w:cs="Times New Roman"/>
          <w:lang w:val="uk-UA"/>
        </w:rPr>
        <w:t xml:space="preserve">Результати роботи дослідницької групи Ф. </w:t>
      </w:r>
      <w:proofErr w:type="spellStart"/>
      <w:r w:rsidRPr="00F61554">
        <w:rPr>
          <w:rFonts w:ascii="Times New Roman" w:hAnsi="Times New Roman" w:cs="Times New Roman"/>
          <w:lang w:val="uk-UA"/>
        </w:rPr>
        <w:t>Шнейдера</w:t>
      </w:r>
      <w:proofErr w:type="spellEnd"/>
      <w:r w:rsidRPr="00F61554">
        <w:rPr>
          <w:rFonts w:ascii="Times New Roman" w:hAnsi="Times New Roman" w:cs="Times New Roman"/>
          <w:lang w:val="uk-UA"/>
        </w:rPr>
        <w:t xml:space="preserve">, Б. </w:t>
      </w:r>
      <w:proofErr w:type="spellStart"/>
      <w:r w:rsidRPr="00F61554">
        <w:rPr>
          <w:rFonts w:ascii="Times New Roman" w:hAnsi="Times New Roman" w:cs="Times New Roman"/>
          <w:lang w:val="uk-UA"/>
        </w:rPr>
        <w:t>Адреаса</w:t>
      </w:r>
      <w:proofErr w:type="spellEnd"/>
      <w:r w:rsidRPr="00F61554">
        <w:rPr>
          <w:rFonts w:ascii="Times New Roman" w:hAnsi="Times New Roman" w:cs="Times New Roman"/>
          <w:lang w:val="uk-UA"/>
        </w:rPr>
        <w:t xml:space="preserve">, К. </w:t>
      </w:r>
      <w:proofErr w:type="spellStart"/>
      <w:r w:rsidRPr="00F61554">
        <w:rPr>
          <w:rFonts w:ascii="Times New Roman" w:hAnsi="Times New Roman" w:cs="Times New Roman"/>
          <w:lang w:val="uk-UA"/>
        </w:rPr>
        <w:t>Монтенегро</w:t>
      </w:r>
      <w:proofErr w:type="spellEnd"/>
      <w:r w:rsidRPr="00F61554">
        <w:rPr>
          <w:rFonts w:ascii="Times New Roman" w:hAnsi="Times New Roman" w:cs="Times New Roman"/>
          <w:lang w:val="uk-UA"/>
        </w:rPr>
        <w:t xml:space="preserve"> (</w:t>
      </w:r>
      <w:r w:rsidRPr="00F61554">
        <w:rPr>
          <w:rFonts w:ascii="Times New Roman" w:hAnsi="Times New Roman" w:cs="Times New Roman"/>
          <w:lang w:val="en-US"/>
        </w:rPr>
        <w:t>Friedrich</w:t>
      </w:r>
      <w:r w:rsidRPr="00F61554">
        <w:rPr>
          <w:rFonts w:ascii="Times New Roman" w:hAnsi="Times New Roman" w:cs="Times New Roman"/>
          <w:lang w:val="uk-UA"/>
        </w:rPr>
        <w:t xml:space="preserve"> </w:t>
      </w:r>
      <w:r w:rsidRPr="00F61554">
        <w:rPr>
          <w:rFonts w:ascii="Times New Roman" w:hAnsi="Times New Roman" w:cs="Times New Roman"/>
          <w:lang w:val="en-US"/>
        </w:rPr>
        <w:t>Schneider</w:t>
      </w:r>
      <w:r w:rsidRPr="00F61554">
        <w:rPr>
          <w:rFonts w:ascii="Times New Roman" w:hAnsi="Times New Roman" w:cs="Times New Roman"/>
          <w:lang w:val="uk-UA"/>
        </w:rPr>
        <w:t xml:space="preserve">, </w:t>
      </w:r>
      <w:r w:rsidRPr="00F61554">
        <w:rPr>
          <w:rFonts w:ascii="Times New Roman" w:hAnsi="Times New Roman" w:cs="Times New Roman"/>
          <w:lang w:val="en-US"/>
        </w:rPr>
        <w:t>Andreas</w:t>
      </w:r>
      <w:r w:rsidRPr="00F61554">
        <w:rPr>
          <w:rFonts w:ascii="Times New Roman" w:hAnsi="Times New Roman" w:cs="Times New Roman"/>
          <w:lang w:val="uk-UA"/>
        </w:rPr>
        <w:t xml:space="preserve"> </w:t>
      </w:r>
      <w:proofErr w:type="spellStart"/>
      <w:r w:rsidRPr="00F61554">
        <w:rPr>
          <w:rFonts w:ascii="Times New Roman" w:hAnsi="Times New Roman" w:cs="Times New Roman"/>
          <w:lang w:val="en-US"/>
        </w:rPr>
        <w:t>Buehn</w:t>
      </w:r>
      <w:proofErr w:type="spellEnd"/>
      <w:r w:rsidRPr="00F61554">
        <w:rPr>
          <w:rFonts w:ascii="Times New Roman" w:hAnsi="Times New Roman" w:cs="Times New Roman"/>
          <w:lang w:val="uk-UA"/>
        </w:rPr>
        <w:t xml:space="preserve">, </w:t>
      </w:r>
      <w:r w:rsidRPr="00F61554">
        <w:rPr>
          <w:rFonts w:ascii="Times New Roman" w:hAnsi="Times New Roman" w:cs="Times New Roman"/>
          <w:lang w:val="en-US"/>
        </w:rPr>
        <w:t>Claudio</w:t>
      </w:r>
      <w:r w:rsidRPr="00F61554">
        <w:rPr>
          <w:rFonts w:ascii="Times New Roman" w:hAnsi="Times New Roman" w:cs="Times New Roman"/>
          <w:lang w:val="uk-UA"/>
        </w:rPr>
        <w:t xml:space="preserve"> </w:t>
      </w:r>
      <w:r w:rsidRPr="00F61554">
        <w:rPr>
          <w:rFonts w:ascii="Times New Roman" w:hAnsi="Times New Roman" w:cs="Times New Roman"/>
          <w:lang w:val="en-US"/>
        </w:rPr>
        <w:t>E</w:t>
      </w:r>
      <w:r w:rsidRPr="00F61554">
        <w:rPr>
          <w:rFonts w:ascii="Times New Roman" w:hAnsi="Times New Roman" w:cs="Times New Roman"/>
          <w:lang w:val="uk-UA"/>
        </w:rPr>
        <w:t>.</w:t>
      </w:r>
      <w:r w:rsidRPr="00F61554">
        <w:rPr>
          <w:rFonts w:ascii="Times New Roman" w:hAnsi="Times New Roman" w:cs="Times New Roman"/>
          <w:lang w:val="en-US"/>
        </w:rPr>
        <w:t>Montenegro</w:t>
      </w:r>
      <w:r w:rsidR="00C16B41" w:rsidRPr="00F61554">
        <w:rPr>
          <w:rFonts w:ascii="Times New Roman" w:hAnsi="Times New Roman" w:cs="Times New Roman"/>
          <w:lang w:val="uk-UA"/>
        </w:rPr>
        <w:t xml:space="preserve">, </w:t>
      </w:r>
      <w:r w:rsidRPr="00F61554">
        <w:rPr>
          <w:rFonts w:ascii="Times New Roman" w:hAnsi="Times New Roman" w:cs="Times New Roman"/>
          <w:lang w:val="uk-UA"/>
        </w:rPr>
        <w:t>2017)</w:t>
      </w:r>
      <w:r w:rsidR="004577CE">
        <w:rPr>
          <w:rFonts w:ascii="Times New Roman" w:hAnsi="Times New Roman" w:cs="Times New Roman"/>
          <w:lang w:val="uk-UA"/>
        </w:rPr>
        <w:t xml:space="preserve"> </w:t>
      </w:r>
      <w:r w:rsidR="004577CE">
        <w:rPr>
          <w:rStyle w:val="aa"/>
          <w:rFonts w:ascii="Times New Roman" w:hAnsi="Times New Roman" w:cs="Times New Roman"/>
          <w:lang w:val="uk-UA"/>
        </w:rPr>
        <w:footnoteReference w:id="5"/>
      </w:r>
      <w:r w:rsidR="004577CE" w:rsidRPr="004577CE">
        <w:rPr>
          <w:rFonts w:ascii="Times New Roman" w:hAnsi="Times New Roman" w:cs="Times New Roman"/>
          <w:lang w:val="uk-UA"/>
        </w:rPr>
        <w:t xml:space="preserve"> </w:t>
      </w:r>
      <w:r w:rsidR="00C16B41" w:rsidRPr="00F61554">
        <w:rPr>
          <w:rFonts w:ascii="Times New Roman" w:hAnsi="Times New Roman" w:cs="Times New Roman"/>
          <w:lang w:val="uk-UA"/>
        </w:rPr>
        <w:t xml:space="preserve">показують </w:t>
      </w:r>
      <w:r w:rsidR="001F0E64" w:rsidRPr="00F61554">
        <w:rPr>
          <w:rFonts w:ascii="Times New Roman" w:hAnsi="Times New Roman" w:cs="Times New Roman"/>
          <w:lang w:val="uk-UA"/>
        </w:rPr>
        <w:t xml:space="preserve">динаміку зменшення тіньової економіки окремих країн </w:t>
      </w:r>
      <w:r w:rsidR="002477FC" w:rsidRPr="00F61554">
        <w:rPr>
          <w:rFonts w:ascii="Times New Roman" w:hAnsi="Times New Roman" w:cs="Times New Roman"/>
          <w:lang w:val="uk-UA"/>
        </w:rPr>
        <w:t xml:space="preserve">світу за 2017 рік у порівнянні з 2007 роком </w:t>
      </w:r>
      <w:r w:rsidR="001F0E64" w:rsidRPr="00F61554">
        <w:rPr>
          <w:rFonts w:ascii="Times New Roman" w:hAnsi="Times New Roman" w:cs="Times New Roman"/>
          <w:lang w:val="uk-UA"/>
        </w:rPr>
        <w:t>(рис.2).</w:t>
      </w:r>
    </w:p>
    <w:p w:rsidR="005E0E48" w:rsidRPr="00F61554" w:rsidRDefault="005E0E48"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Дані рис. 2 показують, що упродовж 10 років провідні країни світу докладали значних зусиль у боротьбі з відмиванням коштів, що позитивно вплинуло на рівень тіньової економіки. У Канаді, Германії, Швейцарії, США та Новій Зеландії рівень тіньової економіки з 2007 р. до 2017 р. знизився більш ніж на 22 %. Австралія, Австрія, Ірландія, Норвегія та Фінляндія домоглися зменшення тіньового сектору економіки майже на 20 % ВВП: 19,7 %; 19,1; 18,1%; 20,8%; 20,7% відповідно.</w:t>
      </w:r>
    </w:p>
    <w:p w:rsidR="00697598" w:rsidRDefault="00697598" w:rsidP="004577CE">
      <w:pPr>
        <w:pStyle w:val="a3"/>
        <w:widowControl w:val="0"/>
        <w:spacing w:line="360" w:lineRule="auto"/>
        <w:ind w:left="0"/>
        <w:jc w:val="both"/>
        <w:rPr>
          <w:rFonts w:ascii="Times New Roman" w:hAnsi="Times New Roman" w:cs="Times New Roman"/>
          <w:lang w:val="uk-UA"/>
        </w:rPr>
      </w:pPr>
      <w:r>
        <w:rPr>
          <w:noProof/>
          <w:lang w:eastAsia="ru-RU"/>
        </w:rPr>
        <w:lastRenderedPageBreak/>
        <w:drawing>
          <wp:inline distT="0" distB="0" distL="0" distR="0" wp14:anchorId="299C3C61" wp14:editId="33289DC8">
            <wp:extent cx="5629275" cy="4546600"/>
            <wp:effectExtent l="0" t="0" r="9525"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7598" w:rsidRDefault="002477FC"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 xml:space="preserve">Рис. 2. </w:t>
      </w:r>
      <w:r w:rsidRPr="002477FC">
        <w:rPr>
          <w:rFonts w:ascii="Times New Roman" w:hAnsi="Times New Roman" w:cs="Times New Roman"/>
          <w:lang w:val="uk-UA"/>
        </w:rPr>
        <w:t>Зміни рівня тіньової економіки у 2017 р. у порівнянні з 2007 р.</w:t>
      </w:r>
    </w:p>
    <w:p w:rsidR="00135A97" w:rsidRDefault="00135A97" w:rsidP="004577CE">
      <w:pPr>
        <w:pStyle w:val="a3"/>
        <w:widowControl w:val="0"/>
        <w:spacing w:line="360" w:lineRule="auto"/>
        <w:ind w:left="0" w:firstLine="709"/>
        <w:jc w:val="both"/>
        <w:rPr>
          <w:rFonts w:ascii="Times New Roman" w:hAnsi="Times New Roman" w:cs="Times New Roman"/>
          <w:lang w:val="uk-UA"/>
        </w:rPr>
      </w:pPr>
    </w:p>
    <w:p w:rsidR="00166463" w:rsidRPr="00C16B41" w:rsidRDefault="00166463" w:rsidP="004577CE">
      <w:pPr>
        <w:pStyle w:val="a3"/>
        <w:widowControl w:val="0"/>
        <w:spacing w:line="360" w:lineRule="auto"/>
        <w:ind w:left="0" w:firstLine="709"/>
        <w:jc w:val="both"/>
        <w:rPr>
          <w:rFonts w:ascii="Times New Roman" w:hAnsi="Times New Roman" w:cs="Times New Roman"/>
          <w:lang w:val="uk-UA"/>
        </w:rPr>
      </w:pPr>
      <w:r>
        <w:rPr>
          <w:rFonts w:ascii="Times New Roman" w:hAnsi="Times New Roman" w:cs="Times New Roman"/>
          <w:lang w:val="uk-UA"/>
        </w:rPr>
        <w:t>Не мали значного успіху заходи щодо боротьби з відмиванням коштів, а отже мають приріст обсягів тіньової економіки серед аналізованих країн тільки Франція та Україна: 8,5% та 2,9% становить приріст рівня тінізації економіки відповідно.</w:t>
      </w:r>
    </w:p>
    <w:p w:rsidR="00D842FD" w:rsidRDefault="00D842FD" w:rsidP="004577CE">
      <w:pPr>
        <w:pStyle w:val="a3"/>
        <w:widowControl w:val="0"/>
        <w:spacing w:line="360" w:lineRule="auto"/>
        <w:ind w:left="0" w:firstLine="851"/>
        <w:jc w:val="both"/>
        <w:rPr>
          <w:rFonts w:ascii="Times New Roman" w:hAnsi="Times New Roman" w:cs="Times New Roman"/>
          <w:lang w:val="uk-UA"/>
        </w:rPr>
      </w:pPr>
      <w:r>
        <w:rPr>
          <w:rFonts w:ascii="Times New Roman" w:hAnsi="Times New Roman" w:cs="Times New Roman"/>
          <w:lang w:val="uk-UA"/>
        </w:rPr>
        <w:t>Другою вагомою групою факторів у розрізі географічних є політичні фактори, до яких віднесено:</w:t>
      </w:r>
      <w:r w:rsidR="00440EF5">
        <w:rPr>
          <w:rFonts w:ascii="Times New Roman" w:hAnsi="Times New Roman" w:cs="Times New Roman"/>
          <w:lang w:val="uk-UA"/>
        </w:rPr>
        <w:t xml:space="preserve"> </w:t>
      </w:r>
      <w:r>
        <w:rPr>
          <w:rFonts w:ascii="Times New Roman" w:hAnsi="Times New Roman" w:cs="Times New Roman"/>
          <w:lang w:val="uk-UA"/>
        </w:rPr>
        <w:t>я</w:t>
      </w:r>
      <w:r w:rsidR="0029432C">
        <w:rPr>
          <w:rFonts w:ascii="Times New Roman" w:hAnsi="Times New Roman" w:cs="Times New Roman"/>
          <w:lang w:val="uk-UA"/>
        </w:rPr>
        <w:t>кість державного управління</w:t>
      </w:r>
      <w:r>
        <w:rPr>
          <w:rFonts w:ascii="Times New Roman" w:hAnsi="Times New Roman" w:cs="Times New Roman"/>
          <w:lang w:val="uk-UA"/>
        </w:rPr>
        <w:t xml:space="preserve">, у тому числі наявність чи відсутність свавілля та зловживань з боку чиновників та можновладців, обсяги корупційної діяльності, а також відкрита відмова від співпраці щодо протидії ВК/ФТ на міжнародному рівні. </w:t>
      </w:r>
    </w:p>
    <w:p w:rsidR="00A43BCE" w:rsidRDefault="0029432C" w:rsidP="004577CE">
      <w:pPr>
        <w:pStyle w:val="a3"/>
        <w:widowControl w:val="0"/>
        <w:spacing w:line="360" w:lineRule="auto"/>
        <w:ind w:left="0" w:firstLine="851"/>
        <w:jc w:val="both"/>
        <w:rPr>
          <w:rFonts w:ascii="Times New Roman" w:hAnsi="Times New Roman" w:cs="Times New Roman"/>
          <w:lang w:val="uk-UA"/>
        </w:rPr>
      </w:pPr>
      <w:r>
        <w:rPr>
          <w:rFonts w:ascii="Times New Roman" w:hAnsi="Times New Roman" w:cs="Times New Roman"/>
          <w:lang w:val="uk-UA"/>
        </w:rPr>
        <w:t>Фактор якості державного управління є дестимулятором процесів легалізації злочинних доходів, оскільки чим вище якість державного управління, тим меншими є зловживання владою, а отже й менше рівень корупції та доходів від корупційної діяльності.</w:t>
      </w:r>
      <w:r w:rsidR="00440EF5">
        <w:rPr>
          <w:rFonts w:ascii="Times New Roman" w:hAnsi="Times New Roman" w:cs="Times New Roman"/>
          <w:lang w:val="uk-UA"/>
        </w:rPr>
        <w:t xml:space="preserve"> Відмова керівництва країни від ратифікації міжнародних конвенцій, спрямованих на боротьбу з ПВК/ФТ, від визнання та впровадження </w:t>
      </w:r>
      <w:r w:rsidR="00440EF5">
        <w:rPr>
          <w:rFonts w:ascii="Times New Roman" w:hAnsi="Times New Roman" w:cs="Times New Roman"/>
          <w:lang w:val="uk-UA"/>
        </w:rPr>
        <w:lastRenderedPageBreak/>
        <w:t>рекомендацій та стандартів ФАТФ тощо значно сприяє процесам легалізації незаконних доходів.</w:t>
      </w:r>
    </w:p>
    <w:p w:rsidR="006F1191" w:rsidRPr="00D51FCA" w:rsidRDefault="009D1D39" w:rsidP="004577CE">
      <w:pPr>
        <w:widowControl w:val="0"/>
        <w:shd w:val="clear" w:color="auto" w:fill="FFFFFF"/>
        <w:spacing w:line="360" w:lineRule="auto"/>
        <w:ind w:right="11" w:firstLine="709"/>
        <w:jc w:val="both"/>
        <w:rPr>
          <w:rFonts w:ascii="Times New Roman" w:hAnsi="Times New Roman" w:cs="Times New Roman"/>
          <w:lang w:val="uk-UA"/>
        </w:rPr>
      </w:pPr>
      <w:r>
        <w:rPr>
          <w:rFonts w:ascii="Times New Roman" w:hAnsi="Times New Roman" w:cs="Times New Roman"/>
          <w:lang w:val="uk-UA"/>
        </w:rPr>
        <w:t>Показниками, що можуть кількісно відобразити зазначені політичні фактори є: індекс якості державного управління, індекс сприйняття корупції</w:t>
      </w:r>
      <w:r w:rsidR="006F1191">
        <w:rPr>
          <w:rFonts w:ascii="Times New Roman" w:hAnsi="Times New Roman" w:cs="Times New Roman"/>
          <w:lang w:val="uk-UA"/>
        </w:rPr>
        <w:t xml:space="preserve"> (</w:t>
      </w:r>
      <w:proofErr w:type="spellStart"/>
      <w:r w:rsidR="006F1191" w:rsidRPr="00D51FCA">
        <w:rPr>
          <w:rFonts w:ascii="Times New Roman" w:hAnsi="Times New Roman" w:cs="Times New Roman"/>
          <w:lang w:val="uk-UA"/>
        </w:rPr>
        <w:t>Corruption</w:t>
      </w:r>
      <w:proofErr w:type="spellEnd"/>
      <w:r w:rsidR="006F1191" w:rsidRPr="00D51FCA">
        <w:rPr>
          <w:rFonts w:ascii="Times New Roman" w:hAnsi="Times New Roman" w:cs="Times New Roman"/>
          <w:lang w:val="uk-UA"/>
        </w:rPr>
        <w:t xml:space="preserve"> </w:t>
      </w:r>
      <w:proofErr w:type="spellStart"/>
      <w:r w:rsidR="006F1191" w:rsidRPr="00D51FCA">
        <w:rPr>
          <w:rFonts w:ascii="Times New Roman" w:hAnsi="Times New Roman" w:cs="Times New Roman"/>
          <w:lang w:val="uk-UA"/>
        </w:rPr>
        <w:t>Perceptions</w:t>
      </w:r>
      <w:proofErr w:type="spellEnd"/>
      <w:r w:rsidR="006F1191" w:rsidRPr="00D51FCA">
        <w:rPr>
          <w:rFonts w:ascii="Times New Roman" w:hAnsi="Times New Roman" w:cs="Times New Roman"/>
          <w:lang w:val="uk-UA"/>
        </w:rPr>
        <w:t xml:space="preserve"> </w:t>
      </w:r>
      <w:proofErr w:type="spellStart"/>
      <w:r w:rsidR="006F1191" w:rsidRPr="00D51FCA">
        <w:rPr>
          <w:rFonts w:ascii="Times New Roman" w:hAnsi="Times New Roman" w:cs="Times New Roman"/>
          <w:lang w:val="uk-UA"/>
        </w:rPr>
        <w:t>Index</w:t>
      </w:r>
      <w:proofErr w:type="spellEnd"/>
      <w:r w:rsidR="006F1191">
        <w:rPr>
          <w:rFonts w:ascii="Times New Roman" w:hAnsi="Times New Roman" w:cs="Times New Roman"/>
          <w:lang w:val="uk-UA"/>
        </w:rPr>
        <w:t>)</w:t>
      </w:r>
      <w:r w:rsidR="004577CE">
        <w:rPr>
          <w:rStyle w:val="aa"/>
          <w:rFonts w:ascii="Times New Roman" w:hAnsi="Times New Roman" w:cs="Times New Roman"/>
          <w:lang w:val="uk-UA"/>
        </w:rPr>
        <w:footnoteReference w:id="6"/>
      </w:r>
      <w:r>
        <w:rPr>
          <w:rFonts w:ascii="Times New Roman" w:hAnsi="Times New Roman" w:cs="Times New Roman"/>
          <w:lang w:val="uk-UA"/>
        </w:rPr>
        <w:t xml:space="preserve">, </w:t>
      </w:r>
      <w:r w:rsidR="006F1191" w:rsidRPr="00D51FCA">
        <w:rPr>
          <w:rFonts w:ascii="Times New Roman" w:hAnsi="Times New Roman" w:cs="Times New Roman"/>
          <w:lang w:val="uk-UA"/>
        </w:rPr>
        <w:t>індекс нестабільності країни (</w:t>
      </w:r>
      <w:proofErr w:type="spellStart"/>
      <w:r w:rsidR="006F1191" w:rsidRPr="00D51FCA">
        <w:rPr>
          <w:rFonts w:ascii="Times New Roman" w:hAnsi="Times New Roman" w:cs="Times New Roman"/>
          <w:lang w:val="uk-UA"/>
        </w:rPr>
        <w:t>Failed</w:t>
      </w:r>
      <w:proofErr w:type="spellEnd"/>
      <w:r w:rsidR="006F1191" w:rsidRPr="00D51FCA">
        <w:rPr>
          <w:rFonts w:ascii="Times New Roman" w:hAnsi="Times New Roman" w:cs="Times New Roman"/>
          <w:lang w:val="uk-UA"/>
        </w:rPr>
        <w:t xml:space="preserve"> </w:t>
      </w:r>
      <w:proofErr w:type="spellStart"/>
      <w:r w:rsidR="006F1191" w:rsidRPr="00D51FCA">
        <w:rPr>
          <w:rFonts w:ascii="Times New Roman" w:hAnsi="Times New Roman" w:cs="Times New Roman"/>
          <w:lang w:val="uk-UA"/>
        </w:rPr>
        <w:t>States</w:t>
      </w:r>
      <w:proofErr w:type="spellEnd"/>
      <w:r w:rsidR="006F1191" w:rsidRPr="00D51FCA">
        <w:rPr>
          <w:rFonts w:ascii="Times New Roman" w:hAnsi="Times New Roman" w:cs="Times New Roman"/>
          <w:lang w:val="uk-UA"/>
        </w:rPr>
        <w:t xml:space="preserve"> </w:t>
      </w:r>
      <w:proofErr w:type="spellStart"/>
      <w:r w:rsidR="006F1191" w:rsidRPr="00D51FCA">
        <w:rPr>
          <w:rFonts w:ascii="Times New Roman" w:hAnsi="Times New Roman" w:cs="Times New Roman"/>
          <w:lang w:val="uk-UA"/>
        </w:rPr>
        <w:t>Index</w:t>
      </w:r>
      <w:proofErr w:type="spellEnd"/>
      <w:r w:rsidR="006F1191" w:rsidRPr="00D51FCA">
        <w:rPr>
          <w:rFonts w:ascii="Times New Roman" w:hAnsi="Times New Roman" w:cs="Times New Roman"/>
          <w:lang w:val="uk-UA"/>
        </w:rPr>
        <w:t>)</w:t>
      </w:r>
      <w:r w:rsidR="004577CE">
        <w:rPr>
          <w:rStyle w:val="aa"/>
          <w:rFonts w:ascii="Times New Roman" w:hAnsi="Times New Roman" w:cs="Times New Roman"/>
          <w:lang w:val="uk-UA"/>
        </w:rPr>
        <w:footnoteReference w:id="7"/>
      </w:r>
      <w:r w:rsidR="006F1191" w:rsidRPr="00D51FCA">
        <w:rPr>
          <w:rFonts w:ascii="Times New Roman" w:hAnsi="Times New Roman" w:cs="Times New Roman"/>
          <w:lang w:val="uk-UA"/>
        </w:rPr>
        <w:t xml:space="preserve">, який об’єднує інформацію щодо політичної ситуації та державного управління. </w:t>
      </w:r>
    </w:p>
    <w:p w:rsidR="00D842FD" w:rsidRPr="000A1DED" w:rsidRDefault="00D51FCA" w:rsidP="004577CE">
      <w:pPr>
        <w:pStyle w:val="a3"/>
        <w:widowControl w:val="0"/>
        <w:spacing w:line="360" w:lineRule="auto"/>
        <w:ind w:left="0" w:firstLine="851"/>
        <w:jc w:val="both"/>
        <w:rPr>
          <w:rFonts w:ascii="Times New Roman" w:hAnsi="Times New Roman" w:cs="Times New Roman"/>
          <w:lang w:val="en-US"/>
        </w:rPr>
      </w:pPr>
      <w:r>
        <w:rPr>
          <w:rFonts w:ascii="Times New Roman" w:hAnsi="Times New Roman" w:cs="Times New Roman"/>
          <w:lang w:val="uk-UA"/>
        </w:rPr>
        <w:t xml:space="preserve">Індекс сприйняття корупції розраховується щороку організацією Трансперенсі </w:t>
      </w:r>
      <w:r w:rsidR="00663848">
        <w:rPr>
          <w:rFonts w:ascii="Times New Roman" w:hAnsi="Times New Roman" w:cs="Times New Roman"/>
          <w:lang w:val="uk-UA"/>
        </w:rPr>
        <w:t>Інтернешнл</w:t>
      </w:r>
      <w:r>
        <w:rPr>
          <w:rFonts w:ascii="Times New Roman" w:hAnsi="Times New Roman" w:cs="Times New Roman"/>
          <w:lang w:val="uk-UA"/>
        </w:rPr>
        <w:t xml:space="preserve"> (</w:t>
      </w:r>
      <w:r>
        <w:rPr>
          <w:rFonts w:ascii="Times New Roman" w:hAnsi="Times New Roman" w:cs="Times New Roman"/>
          <w:lang w:val="en-US"/>
        </w:rPr>
        <w:t>Transparency</w:t>
      </w:r>
      <w:r w:rsidRPr="00D51FCA">
        <w:rPr>
          <w:rFonts w:ascii="Times New Roman" w:hAnsi="Times New Roman" w:cs="Times New Roman"/>
          <w:lang w:val="uk-UA"/>
        </w:rPr>
        <w:t xml:space="preserve"> </w:t>
      </w:r>
      <w:r>
        <w:rPr>
          <w:rFonts w:ascii="Times New Roman" w:hAnsi="Times New Roman" w:cs="Times New Roman"/>
          <w:lang w:val="en-US"/>
        </w:rPr>
        <w:t>International</w:t>
      </w:r>
      <w:r>
        <w:rPr>
          <w:rFonts w:ascii="Times New Roman" w:hAnsi="Times New Roman" w:cs="Times New Roman"/>
          <w:lang w:val="uk-UA"/>
        </w:rPr>
        <w:t>)</w:t>
      </w:r>
      <w:r w:rsidRPr="00D51FCA">
        <w:rPr>
          <w:rFonts w:ascii="Times New Roman" w:hAnsi="Times New Roman" w:cs="Times New Roman"/>
          <w:lang w:val="uk-UA"/>
        </w:rPr>
        <w:t xml:space="preserve"> </w:t>
      </w:r>
      <w:r>
        <w:rPr>
          <w:rFonts w:ascii="Times New Roman" w:hAnsi="Times New Roman" w:cs="Times New Roman"/>
          <w:lang w:val="uk-UA"/>
        </w:rPr>
        <w:t>і вимірюється від</w:t>
      </w:r>
      <w:r w:rsidR="00CA69DF">
        <w:rPr>
          <w:rFonts w:ascii="Times New Roman" w:hAnsi="Times New Roman" w:cs="Times New Roman"/>
          <w:lang w:val="uk-UA"/>
        </w:rPr>
        <w:t xml:space="preserve"> 0 до 100, де 0 означає тотальну</w:t>
      </w:r>
      <w:r>
        <w:rPr>
          <w:rFonts w:ascii="Times New Roman" w:hAnsi="Times New Roman" w:cs="Times New Roman"/>
          <w:lang w:val="uk-UA"/>
        </w:rPr>
        <w:t xml:space="preserve"> корумпованість, а 100 – відсутність корупції (табл. 2)</w:t>
      </w:r>
      <w:r w:rsidR="000A1DED">
        <w:rPr>
          <w:rFonts w:ascii="Times New Roman" w:hAnsi="Times New Roman" w:cs="Times New Roman"/>
          <w:lang w:val="en-US"/>
        </w:rPr>
        <w:t>.</w:t>
      </w:r>
    </w:p>
    <w:p w:rsidR="00663848" w:rsidRDefault="00663848" w:rsidP="004577CE">
      <w:pPr>
        <w:pStyle w:val="a3"/>
        <w:widowControl w:val="0"/>
        <w:spacing w:line="360" w:lineRule="auto"/>
        <w:ind w:left="0" w:firstLine="851"/>
        <w:jc w:val="right"/>
        <w:rPr>
          <w:rFonts w:ascii="Times New Roman" w:hAnsi="Times New Roman" w:cs="Times New Roman"/>
          <w:lang w:val="uk-UA"/>
        </w:rPr>
      </w:pPr>
      <w:r>
        <w:rPr>
          <w:rFonts w:ascii="Times New Roman" w:hAnsi="Times New Roman" w:cs="Times New Roman"/>
          <w:lang w:val="uk-UA"/>
        </w:rPr>
        <w:t>Таблиця 2</w:t>
      </w:r>
    </w:p>
    <w:p w:rsidR="00663848" w:rsidRDefault="00663848" w:rsidP="004577CE">
      <w:pPr>
        <w:pStyle w:val="a3"/>
        <w:widowControl w:val="0"/>
        <w:spacing w:line="360" w:lineRule="auto"/>
        <w:ind w:left="0"/>
        <w:jc w:val="center"/>
        <w:rPr>
          <w:rFonts w:ascii="Times New Roman" w:hAnsi="Times New Roman" w:cs="Times New Roman"/>
          <w:lang w:val="uk-UA"/>
        </w:rPr>
      </w:pPr>
      <w:r>
        <w:rPr>
          <w:rFonts w:ascii="Times New Roman" w:hAnsi="Times New Roman" w:cs="Times New Roman"/>
          <w:lang w:val="uk-UA"/>
        </w:rPr>
        <w:t xml:space="preserve">Індекс </w:t>
      </w:r>
      <w:r w:rsidR="00284E79">
        <w:rPr>
          <w:rFonts w:ascii="Times New Roman" w:hAnsi="Times New Roman" w:cs="Times New Roman"/>
          <w:lang w:val="uk-UA"/>
        </w:rPr>
        <w:t>с</w:t>
      </w:r>
      <w:r>
        <w:rPr>
          <w:rFonts w:ascii="Times New Roman" w:hAnsi="Times New Roman" w:cs="Times New Roman"/>
          <w:lang w:val="uk-UA"/>
        </w:rPr>
        <w:t xml:space="preserve">прийняття корупції окремих країни </w:t>
      </w:r>
      <w:r w:rsidR="00CF1FDA">
        <w:rPr>
          <w:rFonts w:ascii="Times New Roman" w:hAnsi="Times New Roman" w:cs="Times New Roman"/>
          <w:lang w:val="uk-UA"/>
        </w:rPr>
        <w:t xml:space="preserve">упродовж 2012-2016 років </w:t>
      </w:r>
      <w:r w:rsidR="003D2480">
        <w:rPr>
          <w:rFonts w:ascii="Times New Roman" w:hAnsi="Times New Roman" w:cs="Times New Roman"/>
          <w:lang w:val="uk-UA"/>
        </w:rPr>
        <w:br/>
      </w:r>
      <w:r>
        <w:rPr>
          <w:rFonts w:ascii="Times New Roman" w:hAnsi="Times New Roman" w:cs="Times New Roman"/>
          <w:lang w:val="uk-UA"/>
        </w:rPr>
        <w:t>за методологією Трансперенсі Інтернешнл</w:t>
      </w:r>
    </w:p>
    <w:tbl>
      <w:tblPr>
        <w:tblStyle w:val="a7"/>
        <w:tblW w:w="9332" w:type="dxa"/>
        <w:tblLook w:val="04A0" w:firstRow="1" w:lastRow="0" w:firstColumn="1" w:lastColumn="0" w:noHBand="0" w:noVBand="1"/>
      </w:tblPr>
      <w:tblGrid>
        <w:gridCol w:w="3114"/>
        <w:gridCol w:w="1165"/>
        <w:gridCol w:w="1165"/>
        <w:gridCol w:w="1296"/>
        <w:gridCol w:w="1296"/>
        <w:gridCol w:w="1296"/>
      </w:tblGrid>
      <w:tr w:rsidR="00CC4FC4" w:rsidTr="00CC4FC4">
        <w:tc>
          <w:tcPr>
            <w:tcW w:w="3114" w:type="dxa"/>
            <w:vAlign w:val="center"/>
          </w:tcPr>
          <w:p w:rsidR="00CC4FC4" w:rsidRPr="00F65C54" w:rsidRDefault="00CC4FC4" w:rsidP="004577CE">
            <w:pPr>
              <w:widowControl w:val="0"/>
              <w:jc w:val="center"/>
              <w:rPr>
                <w:rFonts w:ascii="Times New Roman" w:hAnsi="Times New Roman" w:cs="Times New Roman"/>
                <w:sz w:val="24"/>
                <w:szCs w:val="24"/>
                <w:lang w:val="uk-UA"/>
              </w:rPr>
            </w:pPr>
            <w:r w:rsidRPr="00F65C54">
              <w:rPr>
                <w:rFonts w:ascii="Times New Roman" w:hAnsi="Times New Roman" w:cs="Times New Roman"/>
                <w:sz w:val="24"/>
                <w:szCs w:val="24"/>
                <w:lang w:val="uk-UA"/>
              </w:rPr>
              <w:t>Країна</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lang w:val="uk-UA"/>
              </w:rPr>
              <w:t>2012</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lang w:val="uk-UA"/>
              </w:rPr>
              <w:t>2013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lang w:val="uk-UA"/>
              </w:rPr>
              <w:t>2014</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lang w:val="uk-UA"/>
              </w:rPr>
              <w:t>2015</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lang w:val="uk-UA"/>
              </w:rPr>
              <w:t>2016</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Сомалі (мінімальне значення)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10</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Ірак</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18</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16</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16</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16</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17</w:t>
            </w:r>
          </w:p>
        </w:tc>
      </w:tr>
      <w:tr w:rsidR="00CC4FC4" w:rsidTr="00F61554">
        <w:tc>
          <w:tcPr>
            <w:tcW w:w="3114" w:type="dxa"/>
            <w:tcBorders>
              <w:bottom w:val="single" w:sz="4" w:space="0" w:color="auto"/>
            </w:tcBorders>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Нігерія</w:t>
            </w:r>
          </w:p>
        </w:tc>
        <w:tc>
          <w:tcPr>
            <w:tcW w:w="1165" w:type="dxa"/>
            <w:tcBorders>
              <w:bottom w:val="single" w:sz="4" w:space="0" w:color="auto"/>
            </w:tcBorders>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27</w:t>
            </w:r>
          </w:p>
        </w:tc>
        <w:tc>
          <w:tcPr>
            <w:tcW w:w="1165" w:type="dxa"/>
            <w:tcBorders>
              <w:bottom w:val="single" w:sz="4" w:space="0" w:color="auto"/>
            </w:tcBorders>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25</w:t>
            </w:r>
          </w:p>
        </w:tc>
        <w:tc>
          <w:tcPr>
            <w:tcW w:w="1296" w:type="dxa"/>
            <w:tcBorders>
              <w:bottom w:val="single" w:sz="4" w:space="0" w:color="auto"/>
            </w:tcBorders>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27</w:t>
            </w:r>
          </w:p>
        </w:tc>
        <w:tc>
          <w:tcPr>
            <w:tcW w:w="1296" w:type="dxa"/>
            <w:tcBorders>
              <w:bottom w:val="single" w:sz="4" w:space="0" w:color="auto"/>
            </w:tcBorders>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26</w:t>
            </w:r>
          </w:p>
        </w:tc>
        <w:tc>
          <w:tcPr>
            <w:tcW w:w="1296" w:type="dxa"/>
            <w:tcBorders>
              <w:bottom w:val="single" w:sz="4" w:space="0" w:color="auto"/>
            </w:tcBorders>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28</w:t>
            </w:r>
          </w:p>
        </w:tc>
      </w:tr>
      <w:tr w:rsidR="00CC4FC4" w:rsidTr="00F61554">
        <w:tc>
          <w:tcPr>
            <w:tcW w:w="3114" w:type="dxa"/>
            <w:shd w:val="clear" w:color="auto" w:fill="BFBFBF" w:themeFill="background1" w:themeFillShade="BF"/>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Україна</w:t>
            </w:r>
          </w:p>
        </w:tc>
        <w:tc>
          <w:tcPr>
            <w:tcW w:w="1165" w:type="dxa"/>
            <w:shd w:val="clear" w:color="auto" w:fill="BFBFBF" w:themeFill="background1" w:themeFillShade="BF"/>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26</w:t>
            </w:r>
          </w:p>
        </w:tc>
        <w:tc>
          <w:tcPr>
            <w:tcW w:w="1165" w:type="dxa"/>
            <w:shd w:val="clear" w:color="auto" w:fill="BFBFBF" w:themeFill="background1" w:themeFillShade="BF"/>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25</w:t>
            </w:r>
          </w:p>
        </w:tc>
        <w:tc>
          <w:tcPr>
            <w:tcW w:w="1296" w:type="dxa"/>
            <w:shd w:val="clear" w:color="auto" w:fill="BFBFBF" w:themeFill="background1" w:themeFillShade="BF"/>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26</w:t>
            </w:r>
          </w:p>
        </w:tc>
        <w:tc>
          <w:tcPr>
            <w:tcW w:w="1296" w:type="dxa"/>
            <w:shd w:val="clear" w:color="auto" w:fill="BFBFBF" w:themeFill="background1" w:themeFillShade="BF"/>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27</w:t>
            </w:r>
          </w:p>
        </w:tc>
        <w:tc>
          <w:tcPr>
            <w:tcW w:w="1296" w:type="dxa"/>
            <w:shd w:val="clear" w:color="auto" w:fill="BFBFBF" w:themeFill="background1" w:themeFillShade="BF"/>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29</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Росія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28</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27</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29</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Єгипет</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32</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32</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37</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36</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34</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Панама</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38</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35</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37</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38</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Білорусь</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31</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29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32</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40</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Туреччина</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49</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50</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45</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42</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41</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Італія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42</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44</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47</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Кіпр</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66</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55</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Словенія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61</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57</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58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60</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61</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Естонія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64</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69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70</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70</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Німеччина</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79</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78</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79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81</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Канада</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84</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82</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Нідерланди</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84</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83</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84</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83</w:t>
            </w:r>
          </w:p>
        </w:tc>
      </w:tr>
      <w:tr w:rsidR="00CC4FC4" w:rsidTr="00CC4FC4">
        <w:trPr>
          <w:trHeight w:val="268"/>
        </w:trPr>
        <w:tc>
          <w:tcPr>
            <w:tcW w:w="3114" w:type="dxa"/>
          </w:tcPr>
          <w:p w:rsidR="00CC4FC4" w:rsidRPr="00F65C54" w:rsidRDefault="00CC4FC4" w:rsidP="004577CE">
            <w:pPr>
              <w:pStyle w:val="a3"/>
              <w:widowControl w:val="0"/>
              <w:spacing w:line="360" w:lineRule="auto"/>
              <w:ind w:left="0"/>
              <w:rPr>
                <w:rFonts w:ascii="Times New Roman" w:hAnsi="Times New Roman" w:cs="Times New Roman"/>
                <w:sz w:val="24"/>
                <w:szCs w:val="24"/>
                <w:lang w:val="uk-UA"/>
              </w:rPr>
            </w:pPr>
            <w:r w:rsidRPr="00F65C54">
              <w:rPr>
                <w:rFonts w:ascii="Times New Roman" w:hAnsi="Times New Roman" w:cs="Times New Roman"/>
                <w:sz w:val="24"/>
                <w:szCs w:val="24"/>
                <w:lang w:val="uk-UA"/>
              </w:rPr>
              <w:t>Фінляндія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90</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89</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90</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89</w:t>
            </w:r>
          </w:p>
        </w:tc>
      </w:tr>
      <w:tr w:rsidR="00CC4FC4" w:rsidTr="00CC4FC4">
        <w:tc>
          <w:tcPr>
            <w:tcW w:w="3114" w:type="dxa"/>
            <w:vAlign w:val="center"/>
          </w:tcPr>
          <w:p w:rsidR="00CC4FC4" w:rsidRPr="00F65C54" w:rsidRDefault="00CC4FC4" w:rsidP="004577CE">
            <w:pPr>
              <w:widowControl w:val="0"/>
              <w:rPr>
                <w:rFonts w:ascii="Times New Roman" w:hAnsi="Times New Roman" w:cs="Times New Roman"/>
                <w:sz w:val="24"/>
                <w:szCs w:val="24"/>
                <w:lang w:val="uk-UA"/>
              </w:rPr>
            </w:pPr>
            <w:r w:rsidRPr="00F65C54">
              <w:rPr>
                <w:rFonts w:ascii="Times New Roman" w:hAnsi="Times New Roman" w:cs="Times New Roman"/>
                <w:sz w:val="24"/>
                <w:szCs w:val="24"/>
                <w:lang w:val="uk-UA"/>
              </w:rPr>
              <w:t>Данія (максимальне значення)</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90</w:t>
            </w:r>
          </w:p>
        </w:tc>
        <w:tc>
          <w:tcPr>
            <w:tcW w:w="1165"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92</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91</w:t>
            </w:r>
          </w:p>
        </w:tc>
        <w:tc>
          <w:tcPr>
            <w:tcW w:w="1296" w:type="dxa"/>
            <w:vAlign w:val="center"/>
          </w:tcPr>
          <w:p w:rsidR="00CC4FC4" w:rsidRPr="00CF1FDA" w:rsidRDefault="00CC4FC4" w:rsidP="004577CE">
            <w:pPr>
              <w:widowControl w:val="0"/>
              <w:jc w:val="center"/>
              <w:rPr>
                <w:rFonts w:ascii="Times New Roman" w:hAnsi="Times New Roman" w:cs="Times New Roman"/>
                <w:sz w:val="24"/>
                <w:szCs w:val="24"/>
              </w:rPr>
            </w:pPr>
            <w:r w:rsidRPr="00CF1FDA">
              <w:rPr>
                <w:rFonts w:ascii="Times New Roman" w:hAnsi="Times New Roman" w:cs="Times New Roman"/>
                <w:sz w:val="24"/>
                <w:szCs w:val="24"/>
              </w:rPr>
              <w:t>90</w:t>
            </w:r>
          </w:p>
        </w:tc>
      </w:tr>
    </w:tbl>
    <w:p w:rsidR="005E0E48" w:rsidRDefault="005E0E48" w:rsidP="004577CE">
      <w:pPr>
        <w:pStyle w:val="a3"/>
        <w:widowControl w:val="0"/>
        <w:spacing w:line="360" w:lineRule="auto"/>
        <w:ind w:left="0" w:firstLine="851"/>
        <w:jc w:val="both"/>
        <w:rPr>
          <w:rFonts w:ascii="Times New Roman" w:hAnsi="Times New Roman" w:cs="Times New Roman"/>
          <w:lang w:val="uk-UA"/>
        </w:rPr>
      </w:pPr>
    </w:p>
    <w:p w:rsidR="00663848" w:rsidRDefault="00CF1FDA" w:rsidP="004577CE">
      <w:pPr>
        <w:pStyle w:val="a3"/>
        <w:widowControl w:val="0"/>
        <w:spacing w:line="360" w:lineRule="auto"/>
        <w:ind w:left="0" w:firstLine="851"/>
        <w:jc w:val="both"/>
        <w:rPr>
          <w:rFonts w:ascii="Times New Roman" w:hAnsi="Times New Roman" w:cs="Times New Roman"/>
          <w:lang w:val="uk-UA"/>
        </w:rPr>
      </w:pPr>
      <w:r>
        <w:rPr>
          <w:rFonts w:ascii="Times New Roman" w:hAnsi="Times New Roman" w:cs="Times New Roman"/>
          <w:lang w:val="uk-UA"/>
        </w:rPr>
        <w:t xml:space="preserve">З даних табл. 2 видно, що </w:t>
      </w:r>
      <w:r w:rsidR="007D35E3">
        <w:rPr>
          <w:rFonts w:ascii="Times New Roman" w:hAnsi="Times New Roman" w:cs="Times New Roman"/>
          <w:lang w:val="uk-UA"/>
        </w:rPr>
        <w:t xml:space="preserve">Україна, на жаль, відноситься до найбільш корумпованих країн світу. У другій третині рейтингу такі країни як Єгипет, </w:t>
      </w:r>
      <w:r w:rsidR="007D35E3">
        <w:rPr>
          <w:rFonts w:ascii="Times New Roman" w:hAnsi="Times New Roman" w:cs="Times New Roman"/>
          <w:lang w:val="uk-UA"/>
        </w:rPr>
        <w:lastRenderedPageBreak/>
        <w:t xml:space="preserve">Панама, Білорусь, Туреччина, Італія і навіть Кіпр. </w:t>
      </w:r>
      <w:r w:rsidR="00AC5B06">
        <w:rPr>
          <w:rFonts w:ascii="Times New Roman" w:hAnsi="Times New Roman" w:cs="Times New Roman"/>
          <w:lang w:val="uk-UA"/>
        </w:rPr>
        <w:t xml:space="preserve">Найменш корумпованими країнами світу є Данія (індекс 90), Нова Зеландія (90) та Фінляндія </w:t>
      </w:r>
      <w:r w:rsidR="001D5EAE">
        <w:rPr>
          <w:rFonts w:ascii="Times New Roman" w:hAnsi="Times New Roman" w:cs="Times New Roman"/>
          <w:lang w:val="uk-UA"/>
        </w:rPr>
        <w:t>(індекс</w:t>
      </w:r>
      <w:r w:rsidR="00AC5B06">
        <w:rPr>
          <w:rFonts w:ascii="Times New Roman" w:hAnsi="Times New Roman" w:cs="Times New Roman"/>
          <w:lang w:val="uk-UA"/>
        </w:rPr>
        <w:t xml:space="preserve"> 89).</w:t>
      </w:r>
    </w:p>
    <w:p w:rsidR="007D3C09" w:rsidRDefault="007D3C09" w:rsidP="004577CE">
      <w:pPr>
        <w:pStyle w:val="a3"/>
        <w:widowControl w:val="0"/>
        <w:spacing w:line="360" w:lineRule="auto"/>
        <w:ind w:left="0" w:firstLine="851"/>
        <w:jc w:val="both"/>
        <w:rPr>
          <w:rFonts w:ascii="Times New Roman" w:hAnsi="Times New Roman" w:cs="Times New Roman"/>
          <w:lang w:val="uk-UA"/>
        </w:rPr>
      </w:pPr>
      <w:r>
        <w:rPr>
          <w:rFonts w:ascii="Times New Roman" w:hAnsi="Times New Roman" w:cs="Times New Roman"/>
          <w:lang w:val="uk-UA"/>
        </w:rPr>
        <w:t xml:space="preserve">Індекс нестабільності країн є комплексним, оскільки в основі його розрахунку </w:t>
      </w:r>
      <w:r w:rsidR="008B3F55">
        <w:rPr>
          <w:rFonts w:ascii="Times New Roman" w:hAnsi="Times New Roman" w:cs="Times New Roman"/>
          <w:lang w:val="uk-UA"/>
        </w:rPr>
        <w:t>12 складових, у тому числі:</w:t>
      </w:r>
      <w:r>
        <w:rPr>
          <w:rFonts w:ascii="Times New Roman" w:hAnsi="Times New Roman" w:cs="Times New Roman"/>
          <w:lang w:val="uk-UA"/>
        </w:rPr>
        <w:t xml:space="preserve"> </w:t>
      </w:r>
      <w:r w:rsidR="008B3F55" w:rsidRPr="008B3F55">
        <w:rPr>
          <w:rFonts w:ascii="Times New Roman" w:hAnsi="Times New Roman" w:cs="Times New Roman"/>
          <w:lang w:val="uk-UA"/>
        </w:rPr>
        <w:t xml:space="preserve">апарат безпеки; </w:t>
      </w:r>
      <w:r w:rsidR="008B3F55">
        <w:rPr>
          <w:rFonts w:ascii="Times New Roman" w:hAnsi="Times New Roman" w:cs="Times New Roman"/>
          <w:lang w:val="uk-UA"/>
        </w:rPr>
        <w:t>визнана еліта (наявність олігархів)</w:t>
      </w:r>
      <w:r w:rsidR="008B3F55" w:rsidRPr="008B3F55">
        <w:rPr>
          <w:rFonts w:ascii="Times New Roman" w:hAnsi="Times New Roman" w:cs="Times New Roman"/>
          <w:lang w:val="uk-UA"/>
        </w:rPr>
        <w:t xml:space="preserve">; група претензій; </w:t>
      </w:r>
      <w:r w:rsidR="008B3F55">
        <w:rPr>
          <w:rFonts w:ascii="Times New Roman" w:hAnsi="Times New Roman" w:cs="Times New Roman"/>
          <w:lang w:val="uk-UA"/>
        </w:rPr>
        <w:t>стан економіки</w:t>
      </w:r>
      <w:r w:rsidR="008B3F55" w:rsidRPr="008B3F55">
        <w:rPr>
          <w:rFonts w:ascii="Times New Roman" w:hAnsi="Times New Roman" w:cs="Times New Roman"/>
          <w:lang w:val="uk-UA"/>
        </w:rPr>
        <w:t>; економічн</w:t>
      </w:r>
      <w:r w:rsidR="008B3F55">
        <w:rPr>
          <w:rFonts w:ascii="Times New Roman" w:hAnsi="Times New Roman" w:cs="Times New Roman"/>
          <w:lang w:val="uk-UA"/>
        </w:rPr>
        <w:t>а нерівність; людська міграція</w:t>
      </w:r>
      <w:r w:rsidR="008B3F55" w:rsidRPr="008B3F55">
        <w:rPr>
          <w:rFonts w:ascii="Times New Roman" w:hAnsi="Times New Roman" w:cs="Times New Roman"/>
          <w:lang w:val="uk-UA"/>
        </w:rPr>
        <w:t xml:space="preserve"> і </w:t>
      </w:r>
      <w:r w:rsidR="008B3F55">
        <w:rPr>
          <w:rFonts w:ascii="Times New Roman" w:hAnsi="Times New Roman" w:cs="Times New Roman"/>
          <w:lang w:val="uk-UA"/>
        </w:rPr>
        <w:t xml:space="preserve">відтік </w:t>
      </w:r>
      <w:proofErr w:type="spellStart"/>
      <w:r w:rsidR="008B3F55">
        <w:rPr>
          <w:rFonts w:ascii="Times New Roman" w:hAnsi="Times New Roman" w:cs="Times New Roman"/>
          <w:lang w:val="uk-UA"/>
        </w:rPr>
        <w:t>мізків</w:t>
      </w:r>
      <w:proofErr w:type="spellEnd"/>
      <w:r w:rsidR="008B3F55" w:rsidRPr="008B3F55">
        <w:rPr>
          <w:rFonts w:ascii="Times New Roman" w:hAnsi="Times New Roman" w:cs="Times New Roman"/>
          <w:lang w:val="uk-UA"/>
        </w:rPr>
        <w:t>; державна легітимність; громадські послуги;  права людини; демографічний тиск; біженці та переселенці; зовнішнє втручання</w:t>
      </w:r>
      <w:r w:rsidR="008B3F55">
        <w:rPr>
          <w:rFonts w:ascii="Times New Roman" w:hAnsi="Times New Roman" w:cs="Times New Roman"/>
          <w:lang w:val="uk-UA"/>
        </w:rPr>
        <w:t>. Вимірюється Індекс нестабільності країни від 0 до 120 (по 10 балів на кожну складову оцінювання). Дані щодо динаміки Індексу нестабільності</w:t>
      </w:r>
      <w:r w:rsidR="005E0E48">
        <w:rPr>
          <w:rStyle w:val="aa"/>
          <w:rFonts w:ascii="Times New Roman" w:hAnsi="Times New Roman" w:cs="Times New Roman"/>
          <w:lang w:val="uk-UA"/>
        </w:rPr>
        <w:footnoteReference w:id="8"/>
      </w:r>
      <w:r w:rsidR="008B3F55">
        <w:rPr>
          <w:rFonts w:ascii="Times New Roman" w:hAnsi="Times New Roman" w:cs="Times New Roman"/>
          <w:lang w:val="uk-UA"/>
        </w:rPr>
        <w:t xml:space="preserve"> окремих країн подано в табл. 3.</w:t>
      </w:r>
    </w:p>
    <w:p w:rsidR="008B3F55" w:rsidRDefault="008B3F55" w:rsidP="004577CE">
      <w:pPr>
        <w:pStyle w:val="a3"/>
        <w:widowControl w:val="0"/>
        <w:spacing w:line="360" w:lineRule="auto"/>
        <w:ind w:left="0" w:firstLine="851"/>
        <w:jc w:val="right"/>
        <w:rPr>
          <w:rFonts w:ascii="Times New Roman" w:hAnsi="Times New Roman" w:cs="Times New Roman"/>
          <w:lang w:val="uk-UA"/>
        </w:rPr>
      </w:pPr>
      <w:r>
        <w:rPr>
          <w:rFonts w:ascii="Times New Roman" w:hAnsi="Times New Roman" w:cs="Times New Roman"/>
          <w:lang w:val="uk-UA"/>
        </w:rPr>
        <w:t>Таблиця 3</w:t>
      </w:r>
    </w:p>
    <w:p w:rsidR="003D2480" w:rsidRDefault="003D2480" w:rsidP="004577CE">
      <w:pPr>
        <w:pStyle w:val="a3"/>
        <w:widowControl w:val="0"/>
        <w:spacing w:line="360" w:lineRule="auto"/>
        <w:ind w:left="0"/>
        <w:jc w:val="center"/>
        <w:rPr>
          <w:rFonts w:ascii="Times New Roman" w:hAnsi="Times New Roman" w:cs="Times New Roman"/>
          <w:lang w:val="uk-UA"/>
        </w:rPr>
      </w:pPr>
      <w:r>
        <w:rPr>
          <w:rFonts w:ascii="Times New Roman" w:hAnsi="Times New Roman" w:cs="Times New Roman"/>
          <w:lang w:val="uk-UA"/>
        </w:rPr>
        <w:t xml:space="preserve">Індекс нестабільності країни </w:t>
      </w:r>
      <w:r w:rsidR="00F65C54">
        <w:rPr>
          <w:rFonts w:ascii="Times New Roman" w:hAnsi="Times New Roman" w:cs="Times New Roman"/>
          <w:lang w:val="uk-UA"/>
        </w:rPr>
        <w:t xml:space="preserve">та рейтинг окремих країн </w:t>
      </w:r>
      <w:r w:rsidR="00737CB5">
        <w:rPr>
          <w:rFonts w:ascii="Times New Roman" w:hAnsi="Times New Roman" w:cs="Times New Roman"/>
          <w:lang w:val="uk-UA"/>
        </w:rPr>
        <w:t>за</w:t>
      </w:r>
      <w:r>
        <w:rPr>
          <w:rFonts w:ascii="Times New Roman" w:hAnsi="Times New Roman" w:cs="Times New Roman"/>
          <w:lang w:val="uk-UA"/>
        </w:rPr>
        <w:t xml:space="preserve"> 2012</w:t>
      </w:r>
      <w:r w:rsidR="00737CB5">
        <w:rPr>
          <w:rFonts w:ascii="Times New Roman" w:hAnsi="Times New Roman" w:cs="Times New Roman"/>
          <w:lang w:val="uk-UA"/>
        </w:rPr>
        <w:t xml:space="preserve"> та</w:t>
      </w:r>
      <w:r>
        <w:rPr>
          <w:rFonts w:ascii="Times New Roman" w:hAnsi="Times New Roman" w:cs="Times New Roman"/>
          <w:lang w:val="uk-UA"/>
        </w:rPr>
        <w:t>2017 рок</w:t>
      </w:r>
      <w:r w:rsidR="00737CB5">
        <w:rPr>
          <w:rFonts w:ascii="Times New Roman" w:hAnsi="Times New Roman" w:cs="Times New Roman"/>
          <w:lang w:val="uk-UA"/>
        </w:rPr>
        <w:t>и</w:t>
      </w:r>
    </w:p>
    <w:tbl>
      <w:tblPr>
        <w:tblStyle w:val="a7"/>
        <w:tblW w:w="9826" w:type="dxa"/>
        <w:tblLayout w:type="fixed"/>
        <w:tblCellMar>
          <w:left w:w="28" w:type="dxa"/>
          <w:right w:w="28" w:type="dxa"/>
        </w:tblCellMar>
        <w:tblLook w:val="04A0" w:firstRow="1" w:lastRow="0" w:firstColumn="1" w:lastColumn="0" w:noHBand="0" w:noVBand="1"/>
      </w:tblPr>
      <w:tblGrid>
        <w:gridCol w:w="1271"/>
        <w:gridCol w:w="992"/>
        <w:gridCol w:w="979"/>
        <w:gridCol w:w="1134"/>
        <w:gridCol w:w="864"/>
        <w:gridCol w:w="1559"/>
        <w:gridCol w:w="3027"/>
      </w:tblGrid>
      <w:tr w:rsidR="00F53760" w:rsidRPr="00CF1FDA" w:rsidTr="000A3E5F">
        <w:tc>
          <w:tcPr>
            <w:tcW w:w="1271" w:type="dxa"/>
            <w:vMerge w:val="restart"/>
            <w:vAlign w:val="center"/>
          </w:tcPr>
          <w:p w:rsidR="00F53760" w:rsidRPr="00F425DF" w:rsidRDefault="00F53760"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Країна</w:t>
            </w:r>
          </w:p>
        </w:tc>
        <w:tc>
          <w:tcPr>
            <w:tcW w:w="1971" w:type="dxa"/>
            <w:gridSpan w:val="2"/>
            <w:vAlign w:val="center"/>
          </w:tcPr>
          <w:p w:rsidR="00F53760" w:rsidRPr="00F425DF" w:rsidRDefault="00F53760"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2012</w:t>
            </w:r>
          </w:p>
        </w:tc>
        <w:tc>
          <w:tcPr>
            <w:tcW w:w="1998" w:type="dxa"/>
            <w:gridSpan w:val="2"/>
            <w:vAlign w:val="center"/>
          </w:tcPr>
          <w:p w:rsidR="00F53760" w:rsidRPr="00F425DF" w:rsidRDefault="00F53760"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2017</w:t>
            </w:r>
          </w:p>
        </w:tc>
        <w:tc>
          <w:tcPr>
            <w:tcW w:w="4586" w:type="dxa"/>
            <w:gridSpan w:val="2"/>
          </w:tcPr>
          <w:p w:rsidR="00F53760" w:rsidRPr="00F425DF" w:rsidRDefault="00F53760"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Зміни у нестабільності країни</w:t>
            </w:r>
          </w:p>
        </w:tc>
      </w:tr>
      <w:tr w:rsidR="00F53760" w:rsidRPr="00CF1FDA" w:rsidTr="000A3E5F">
        <w:tc>
          <w:tcPr>
            <w:tcW w:w="1271" w:type="dxa"/>
            <w:vMerge/>
            <w:vAlign w:val="bottom"/>
          </w:tcPr>
          <w:p w:rsidR="00F53760" w:rsidRPr="00F425DF" w:rsidRDefault="00F53760" w:rsidP="004577CE">
            <w:pPr>
              <w:widowControl w:val="0"/>
              <w:rPr>
                <w:rFonts w:ascii="Times New Roman" w:hAnsi="Times New Roman" w:cs="Times New Roman"/>
                <w:sz w:val="24"/>
                <w:szCs w:val="24"/>
                <w:lang w:val="az-Cyrl-AZ"/>
              </w:rPr>
            </w:pPr>
          </w:p>
        </w:tc>
        <w:tc>
          <w:tcPr>
            <w:tcW w:w="992" w:type="dxa"/>
            <w:vAlign w:val="bottom"/>
          </w:tcPr>
          <w:p w:rsidR="00F53760" w:rsidRPr="00F425DF" w:rsidRDefault="00F53760"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Рейтинг</w:t>
            </w:r>
          </w:p>
        </w:tc>
        <w:tc>
          <w:tcPr>
            <w:tcW w:w="979" w:type="dxa"/>
            <w:vAlign w:val="bottom"/>
          </w:tcPr>
          <w:p w:rsidR="00F53760" w:rsidRPr="00F425DF" w:rsidRDefault="00F53760"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Індекс</w:t>
            </w:r>
          </w:p>
        </w:tc>
        <w:tc>
          <w:tcPr>
            <w:tcW w:w="1134" w:type="dxa"/>
            <w:vAlign w:val="bottom"/>
          </w:tcPr>
          <w:p w:rsidR="00F53760" w:rsidRPr="00F425DF" w:rsidRDefault="00F53760"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Рейтинг</w:t>
            </w:r>
          </w:p>
        </w:tc>
        <w:tc>
          <w:tcPr>
            <w:tcW w:w="864" w:type="dxa"/>
            <w:vAlign w:val="bottom"/>
          </w:tcPr>
          <w:p w:rsidR="00F53760" w:rsidRPr="00F425DF" w:rsidRDefault="00F53760"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Індекс</w:t>
            </w:r>
          </w:p>
        </w:tc>
        <w:tc>
          <w:tcPr>
            <w:tcW w:w="1559" w:type="dxa"/>
          </w:tcPr>
          <w:p w:rsidR="00F53760" w:rsidRPr="00F425DF" w:rsidRDefault="000A3E5F" w:rsidP="004577CE">
            <w:pPr>
              <w:widowControl w:val="0"/>
              <w:jc w:val="center"/>
              <w:rPr>
                <w:rFonts w:ascii="Times New Roman" w:hAnsi="Times New Roman" w:cs="Times New Roman"/>
                <w:color w:val="000000"/>
                <w:sz w:val="24"/>
                <w:szCs w:val="24"/>
                <w:lang w:val="az-Cyrl-AZ"/>
              </w:rPr>
            </w:pPr>
            <w:r>
              <w:rPr>
                <w:rFonts w:ascii="Times New Roman" w:hAnsi="Times New Roman" w:cs="Times New Roman"/>
                <w:color w:val="000000"/>
                <w:sz w:val="24"/>
                <w:szCs w:val="24"/>
                <w:lang w:val="az-Cyrl-AZ"/>
              </w:rPr>
              <w:t>К</w:t>
            </w:r>
            <w:r w:rsidR="00F53760">
              <w:rPr>
                <w:rFonts w:ascii="Times New Roman" w:hAnsi="Times New Roman" w:cs="Times New Roman"/>
                <w:color w:val="000000"/>
                <w:sz w:val="24"/>
                <w:szCs w:val="24"/>
                <w:lang w:val="az-Cyrl-AZ"/>
              </w:rPr>
              <w:t>ількісні</w:t>
            </w:r>
            <w:r>
              <w:rPr>
                <w:rFonts w:ascii="Times New Roman" w:hAnsi="Times New Roman" w:cs="Times New Roman"/>
                <w:color w:val="000000"/>
                <w:sz w:val="24"/>
                <w:szCs w:val="24"/>
                <w:lang w:val="az-Cyrl-AZ"/>
              </w:rPr>
              <w:t>, %</w:t>
            </w:r>
          </w:p>
        </w:tc>
        <w:tc>
          <w:tcPr>
            <w:tcW w:w="3027" w:type="dxa"/>
          </w:tcPr>
          <w:p w:rsidR="00F53760" w:rsidRPr="00F425DF" w:rsidRDefault="00F53760" w:rsidP="004577CE">
            <w:pPr>
              <w:widowControl w:val="0"/>
              <w:jc w:val="center"/>
              <w:rPr>
                <w:rFonts w:ascii="Times New Roman" w:hAnsi="Times New Roman" w:cs="Times New Roman"/>
                <w:color w:val="000000"/>
                <w:sz w:val="24"/>
                <w:szCs w:val="24"/>
                <w:lang w:val="az-Cyrl-AZ"/>
              </w:rPr>
            </w:pPr>
            <w:r>
              <w:rPr>
                <w:rFonts w:ascii="Times New Roman" w:hAnsi="Times New Roman" w:cs="Times New Roman"/>
                <w:color w:val="000000"/>
                <w:sz w:val="24"/>
                <w:szCs w:val="24"/>
                <w:lang w:val="az-Cyrl-AZ"/>
              </w:rPr>
              <w:t>якісні</w:t>
            </w:r>
          </w:p>
        </w:tc>
      </w:tr>
      <w:tr w:rsidR="000A3E5F" w:rsidRPr="00CF1FDA" w:rsidTr="000A3E5F">
        <w:tc>
          <w:tcPr>
            <w:tcW w:w="1271"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Південний Судан</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3</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108,4</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113,9</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4,83</w:t>
            </w:r>
          </w:p>
        </w:tc>
        <w:tc>
          <w:tcPr>
            <w:tcW w:w="3027" w:type="dxa"/>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 xml:space="preserve">Нестабільність </w:t>
            </w:r>
            <w:r>
              <w:rPr>
                <w:rFonts w:ascii="Times New Roman" w:hAnsi="Times New Roman" w:cs="Times New Roman"/>
                <w:color w:val="000000"/>
                <w:sz w:val="24"/>
                <w:szCs w:val="24"/>
                <w:lang w:val="az-Cyrl-AZ"/>
              </w:rPr>
              <w:t>зросла</w:t>
            </w:r>
          </w:p>
        </w:tc>
      </w:tr>
      <w:tr w:rsidR="000A3E5F" w:rsidRPr="00CF1FDA" w:rsidTr="000A3E5F">
        <w:tc>
          <w:tcPr>
            <w:tcW w:w="1271"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Сомалі</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114,9</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113,4</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-1,32</w:t>
            </w:r>
          </w:p>
        </w:tc>
        <w:tc>
          <w:tcPr>
            <w:tcW w:w="3027" w:type="dxa"/>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Ірак</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9</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104,3</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10</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105,4</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1,04</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Нестабільність зросла</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Єгипет</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31</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90,4</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36</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89,8</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-0,67</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color w:val="000000"/>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Туреччина</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85</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76,6</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64</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80,8</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5,20</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Нестабільність зросла</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Росія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83</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77,1</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67</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79,2</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2,65</w:t>
            </w:r>
          </w:p>
        </w:tc>
        <w:tc>
          <w:tcPr>
            <w:tcW w:w="3027" w:type="dxa"/>
          </w:tcPr>
          <w:p w:rsidR="000A3E5F" w:rsidRPr="00F425DF" w:rsidRDefault="001D5EAE"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Нестабільність зросла</w:t>
            </w:r>
          </w:p>
        </w:tc>
      </w:tr>
      <w:tr w:rsidR="000A3E5F" w:rsidRPr="00CF1FDA" w:rsidTr="00F61554">
        <w:tc>
          <w:tcPr>
            <w:tcW w:w="1271" w:type="dxa"/>
            <w:tcBorders>
              <w:bottom w:val="single" w:sz="4" w:space="0" w:color="auto"/>
            </w:tcBorders>
            <w:vAlign w:val="center"/>
          </w:tcPr>
          <w:p w:rsidR="000A3E5F" w:rsidRPr="00F425DF" w:rsidRDefault="000A3E5F" w:rsidP="004577CE">
            <w:pPr>
              <w:widowControl w:val="0"/>
              <w:rPr>
                <w:rFonts w:ascii="Times New Roman" w:hAnsi="Times New Roman" w:cs="Times New Roman"/>
                <w:sz w:val="24"/>
                <w:szCs w:val="24"/>
                <w:lang w:val="az-Cyrl-AZ"/>
              </w:rPr>
            </w:pPr>
            <w:r>
              <w:rPr>
                <w:rFonts w:ascii="Times New Roman" w:hAnsi="Times New Roman" w:cs="Times New Roman"/>
                <w:sz w:val="24"/>
                <w:szCs w:val="24"/>
                <w:lang w:val="az-Cyrl-AZ"/>
              </w:rPr>
              <w:t>Грузія</w:t>
            </w:r>
          </w:p>
        </w:tc>
        <w:tc>
          <w:tcPr>
            <w:tcW w:w="992" w:type="dxa"/>
            <w:tcBorders>
              <w:bottom w:val="single" w:sz="4" w:space="0" w:color="auto"/>
            </w:tcBorders>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51</w:t>
            </w:r>
          </w:p>
        </w:tc>
        <w:tc>
          <w:tcPr>
            <w:tcW w:w="979" w:type="dxa"/>
            <w:tcBorders>
              <w:bottom w:val="single" w:sz="4" w:space="0" w:color="auto"/>
            </w:tcBorders>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84,8</w:t>
            </w:r>
          </w:p>
        </w:tc>
        <w:tc>
          <w:tcPr>
            <w:tcW w:w="1134" w:type="dxa"/>
            <w:tcBorders>
              <w:bottom w:val="single" w:sz="4" w:space="0" w:color="auto"/>
            </w:tcBorders>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79</w:t>
            </w:r>
          </w:p>
        </w:tc>
        <w:tc>
          <w:tcPr>
            <w:tcW w:w="864" w:type="dxa"/>
            <w:tcBorders>
              <w:bottom w:val="single" w:sz="4" w:space="0" w:color="auto"/>
            </w:tcBorders>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76,5</w:t>
            </w:r>
          </w:p>
        </w:tc>
        <w:tc>
          <w:tcPr>
            <w:tcW w:w="1559" w:type="dxa"/>
            <w:tcBorders>
              <w:bottom w:val="single" w:sz="4" w:space="0" w:color="auto"/>
            </w:tcBorders>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-10,85</w:t>
            </w:r>
          </w:p>
        </w:tc>
        <w:tc>
          <w:tcPr>
            <w:tcW w:w="3027" w:type="dxa"/>
            <w:tcBorders>
              <w:bottom w:val="single" w:sz="4" w:space="0" w:color="auto"/>
            </w:tcBorders>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Нестабільність зросла</w:t>
            </w:r>
          </w:p>
        </w:tc>
      </w:tr>
      <w:tr w:rsidR="000A3E5F" w:rsidRPr="00CF1FDA" w:rsidTr="00F61554">
        <w:tc>
          <w:tcPr>
            <w:tcW w:w="1271" w:type="dxa"/>
            <w:shd w:val="clear" w:color="auto" w:fill="BFBFBF" w:themeFill="background1" w:themeFillShade="BF"/>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Україна</w:t>
            </w:r>
          </w:p>
        </w:tc>
        <w:tc>
          <w:tcPr>
            <w:tcW w:w="992" w:type="dxa"/>
            <w:shd w:val="clear" w:color="auto" w:fill="BFBFBF" w:themeFill="background1" w:themeFillShade="BF"/>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113</w:t>
            </w:r>
          </w:p>
        </w:tc>
        <w:tc>
          <w:tcPr>
            <w:tcW w:w="979" w:type="dxa"/>
            <w:shd w:val="clear" w:color="auto" w:fill="BFBFBF" w:themeFill="background1" w:themeFillShade="BF"/>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67,2</w:t>
            </w:r>
          </w:p>
        </w:tc>
        <w:tc>
          <w:tcPr>
            <w:tcW w:w="1134" w:type="dxa"/>
            <w:shd w:val="clear" w:color="auto" w:fill="BFBFBF" w:themeFill="background1" w:themeFillShade="BF"/>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90</w:t>
            </w:r>
          </w:p>
        </w:tc>
        <w:tc>
          <w:tcPr>
            <w:tcW w:w="864" w:type="dxa"/>
            <w:shd w:val="clear" w:color="auto" w:fill="BFBFBF" w:themeFill="background1" w:themeFillShade="BF"/>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74,0</w:t>
            </w:r>
          </w:p>
        </w:tc>
        <w:tc>
          <w:tcPr>
            <w:tcW w:w="1559" w:type="dxa"/>
            <w:shd w:val="clear" w:color="auto" w:fill="BFBFBF" w:themeFill="background1" w:themeFillShade="BF"/>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9,19</w:t>
            </w:r>
          </w:p>
        </w:tc>
        <w:tc>
          <w:tcPr>
            <w:tcW w:w="3027" w:type="dxa"/>
            <w:shd w:val="clear" w:color="auto" w:fill="BFBFBF" w:themeFill="background1" w:themeFillShade="BF"/>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зросла</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Білорусь</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85</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76,6</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95</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72,4</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-5,80</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Кіпр</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115</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66,8</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121</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62,6</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-6,71</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Італія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145</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45,8</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142</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45,2</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-1,33</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Естонія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143</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47,5</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143</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44,7</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-6,26</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bottom"/>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Польща</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158</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44,3</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151</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40,8</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-8,58</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bottom"/>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Іспанія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153</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42,8</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155</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37,9</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-12,93</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bottom"/>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Японія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151</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43,5</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156</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37,4</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-16,31</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F61554">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Великобританія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158</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35,3</w:t>
            </w:r>
          </w:p>
        </w:tc>
        <w:tc>
          <w:tcPr>
            <w:tcW w:w="1134"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160</w:t>
            </w:r>
          </w:p>
        </w:tc>
        <w:tc>
          <w:tcPr>
            <w:tcW w:w="864" w:type="dxa"/>
            <w:vAlign w:val="center"/>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33,2</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-6,33</w:t>
            </w:r>
          </w:p>
        </w:tc>
        <w:tc>
          <w:tcPr>
            <w:tcW w:w="3027"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Німеччина</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 xml:space="preserve"> 164</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29,2</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165</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28,1</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-3,91</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Канада</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 xml:space="preserve">169 </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26,8</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169</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22,6</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-18,58</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rPr>
          <w:trHeight w:val="268"/>
        </w:trPr>
        <w:tc>
          <w:tcPr>
            <w:tcW w:w="1271" w:type="dxa"/>
            <w:vAlign w:val="center"/>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 xml:space="preserve">Данія </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175</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23,0</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175</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21,5</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-6,98</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bottom"/>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Швейцарія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174</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23,3</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176</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21,1</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-10,43</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0A3E5F">
        <w:tc>
          <w:tcPr>
            <w:tcW w:w="1271" w:type="dxa"/>
            <w:vAlign w:val="bottom"/>
          </w:tcPr>
          <w:p w:rsidR="000A3E5F" w:rsidRPr="00F425DF" w:rsidRDefault="000A3E5F" w:rsidP="004577CE">
            <w:pPr>
              <w:widowControl w:val="0"/>
              <w:rPr>
                <w:rFonts w:ascii="Times New Roman" w:hAnsi="Times New Roman" w:cs="Times New Roman"/>
                <w:sz w:val="24"/>
                <w:szCs w:val="24"/>
                <w:lang w:val="az-Cyrl-AZ"/>
              </w:rPr>
            </w:pPr>
            <w:r w:rsidRPr="00F425DF">
              <w:rPr>
                <w:rFonts w:ascii="Times New Roman" w:hAnsi="Times New Roman" w:cs="Times New Roman"/>
                <w:sz w:val="24"/>
                <w:szCs w:val="24"/>
                <w:lang w:val="az-Cyrl-AZ"/>
              </w:rPr>
              <w:t>Норвегія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173</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23,9</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177</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20,5</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-16,59</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r w:rsidR="000A3E5F" w:rsidRPr="00CF1FDA" w:rsidTr="00F61554">
        <w:trPr>
          <w:trHeight w:val="90"/>
        </w:trPr>
        <w:tc>
          <w:tcPr>
            <w:tcW w:w="1271" w:type="dxa"/>
          </w:tcPr>
          <w:p w:rsidR="000A3E5F" w:rsidRPr="00F425DF" w:rsidRDefault="000A3E5F" w:rsidP="004577CE">
            <w:pPr>
              <w:pStyle w:val="a3"/>
              <w:widowControl w:val="0"/>
              <w:spacing w:line="360" w:lineRule="auto"/>
              <w:ind w:left="0"/>
              <w:rPr>
                <w:rFonts w:ascii="Times New Roman" w:hAnsi="Times New Roman" w:cs="Times New Roman"/>
                <w:sz w:val="24"/>
                <w:szCs w:val="24"/>
                <w:lang w:val="az-Cyrl-AZ"/>
              </w:rPr>
            </w:pPr>
            <w:r w:rsidRPr="00F425DF">
              <w:rPr>
                <w:rFonts w:ascii="Times New Roman" w:hAnsi="Times New Roman" w:cs="Times New Roman"/>
                <w:sz w:val="24"/>
                <w:szCs w:val="24"/>
                <w:lang w:val="az-Cyrl-AZ"/>
              </w:rPr>
              <w:t>Фінляндія</w:t>
            </w:r>
          </w:p>
        </w:tc>
        <w:tc>
          <w:tcPr>
            <w:tcW w:w="992"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177</w:t>
            </w:r>
          </w:p>
        </w:tc>
        <w:tc>
          <w:tcPr>
            <w:tcW w:w="979" w:type="dxa"/>
            <w:vAlign w:val="center"/>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20,0</w:t>
            </w:r>
          </w:p>
        </w:tc>
        <w:tc>
          <w:tcPr>
            <w:tcW w:w="1134" w:type="dxa"/>
            <w:vAlign w:val="bottom"/>
          </w:tcPr>
          <w:p w:rsidR="000A3E5F" w:rsidRPr="00F425DF" w:rsidRDefault="000A3E5F" w:rsidP="004577CE">
            <w:pPr>
              <w:widowControl w:val="0"/>
              <w:jc w:val="center"/>
              <w:rPr>
                <w:rFonts w:ascii="Times New Roman" w:hAnsi="Times New Roman" w:cs="Times New Roman"/>
                <w:sz w:val="24"/>
                <w:szCs w:val="24"/>
                <w:lang w:val="az-Cyrl-AZ"/>
              </w:rPr>
            </w:pPr>
            <w:r w:rsidRPr="00F425DF">
              <w:rPr>
                <w:rFonts w:ascii="Times New Roman" w:hAnsi="Times New Roman" w:cs="Times New Roman"/>
                <w:sz w:val="24"/>
                <w:szCs w:val="24"/>
                <w:lang w:val="az-Cyrl-AZ"/>
              </w:rPr>
              <w:t>178</w:t>
            </w:r>
          </w:p>
        </w:tc>
        <w:tc>
          <w:tcPr>
            <w:tcW w:w="864" w:type="dxa"/>
            <w:vAlign w:val="bottom"/>
          </w:tcPr>
          <w:p w:rsidR="000A3E5F" w:rsidRPr="00F425DF" w:rsidRDefault="000A3E5F" w:rsidP="004577CE">
            <w:pPr>
              <w:widowControl w:val="0"/>
              <w:jc w:val="center"/>
              <w:rPr>
                <w:rFonts w:ascii="Times New Roman" w:hAnsi="Times New Roman" w:cs="Times New Roman"/>
                <w:color w:val="000000"/>
                <w:sz w:val="24"/>
                <w:szCs w:val="24"/>
                <w:lang w:val="az-Cyrl-AZ"/>
              </w:rPr>
            </w:pPr>
            <w:r w:rsidRPr="00F425DF">
              <w:rPr>
                <w:rFonts w:ascii="Times New Roman" w:hAnsi="Times New Roman" w:cs="Times New Roman"/>
                <w:color w:val="000000"/>
                <w:sz w:val="24"/>
                <w:szCs w:val="24"/>
                <w:lang w:val="az-Cyrl-AZ"/>
              </w:rPr>
              <w:t>18,7</w:t>
            </w:r>
          </w:p>
        </w:tc>
        <w:tc>
          <w:tcPr>
            <w:tcW w:w="1559" w:type="dxa"/>
            <w:vAlign w:val="center"/>
          </w:tcPr>
          <w:p w:rsidR="000A3E5F" w:rsidRPr="000A3E5F" w:rsidRDefault="000A3E5F" w:rsidP="004577CE">
            <w:pPr>
              <w:widowControl w:val="0"/>
              <w:jc w:val="center"/>
              <w:rPr>
                <w:rFonts w:ascii="Times New Roman" w:hAnsi="Times New Roman" w:cs="Times New Roman"/>
                <w:color w:val="000000"/>
                <w:sz w:val="24"/>
                <w:szCs w:val="24"/>
              </w:rPr>
            </w:pPr>
            <w:r w:rsidRPr="000A3E5F">
              <w:rPr>
                <w:rFonts w:ascii="Times New Roman" w:hAnsi="Times New Roman" w:cs="Times New Roman"/>
                <w:color w:val="000000"/>
                <w:sz w:val="24"/>
                <w:szCs w:val="24"/>
                <w:lang w:val="az-Cyrl-AZ"/>
              </w:rPr>
              <w:t>-6,95</w:t>
            </w:r>
          </w:p>
        </w:tc>
        <w:tc>
          <w:tcPr>
            <w:tcW w:w="3027" w:type="dxa"/>
          </w:tcPr>
          <w:p w:rsidR="000A3E5F" w:rsidRPr="00F425DF" w:rsidRDefault="000A3E5F" w:rsidP="004577CE">
            <w:pPr>
              <w:widowControl w:val="0"/>
              <w:jc w:val="center"/>
              <w:rPr>
                <w:rFonts w:ascii="Times New Roman" w:hAnsi="Times New Roman" w:cs="Times New Roman"/>
                <w:sz w:val="24"/>
                <w:szCs w:val="24"/>
                <w:lang w:val="az-Cyrl-AZ"/>
              </w:rPr>
            </w:pPr>
            <w:r>
              <w:rPr>
                <w:rFonts w:ascii="Times New Roman" w:hAnsi="Times New Roman" w:cs="Times New Roman"/>
                <w:sz w:val="24"/>
                <w:szCs w:val="24"/>
                <w:lang w:val="az-Cyrl-AZ"/>
              </w:rPr>
              <w:t>Нестабільність зменшилась</w:t>
            </w:r>
          </w:p>
        </w:tc>
      </w:tr>
    </w:tbl>
    <w:p w:rsidR="005E0E48" w:rsidRDefault="005E0E48" w:rsidP="004577CE">
      <w:pPr>
        <w:pStyle w:val="a3"/>
        <w:widowControl w:val="0"/>
        <w:spacing w:line="360" w:lineRule="auto"/>
        <w:ind w:left="0" w:firstLine="851"/>
        <w:jc w:val="both"/>
        <w:rPr>
          <w:rFonts w:ascii="Times New Roman" w:hAnsi="Times New Roman" w:cs="Times New Roman"/>
          <w:lang w:val="uk-UA"/>
        </w:rPr>
      </w:pPr>
    </w:p>
    <w:p w:rsidR="003D2480" w:rsidRPr="00D51FCA" w:rsidRDefault="001D5EAE" w:rsidP="004577CE">
      <w:pPr>
        <w:pStyle w:val="a3"/>
        <w:widowControl w:val="0"/>
        <w:spacing w:line="360" w:lineRule="auto"/>
        <w:ind w:left="0" w:firstLine="851"/>
        <w:jc w:val="both"/>
        <w:rPr>
          <w:rFonts w:ascii="Times New Roman" w:hAnsi="Times New Roman" w:cs="Times New Roman"/>
          <w:lang w:val="uk-UA"/>
        </w:rPr>
      </w:pPr>
      <w:r>
        <w:rPr>
          <w:rFonts w:ascii="Times New Roman" w:hAnsi="Times New Roman" w:cs="Times New Roman"/>
          <w:lang w:val="uk-UA"/>
        </w:rPr>
        <w:lastRenderedPageBreak/>
        <w:t xml:space="preserve">Дані табл. 3 показують, що </w:t>
      </w:r>
      <w:r w:rsidR="00F61554">
        <w:rPr>
          <w:rFonts w:ascii="Times New Roman" w:hAnsi="Times New Roman" w:cs="Times New Roman"/>
          <w:lang w:val="uk-UA"/>
        </w:rPr>
        <w:t xml:space="preserve">упродовж 5 років найбільш стабільною залишається Фінляндія, і якщо порівняти дані таблиць 2 і 3, то стане зрозумілим, що й корупція в цій країні знаходиться на найнижчому з можливих рівні. Поперемінно очолюють рейтинг найбільш нестабільних країн світу Сомалі та Південний Судан. Україна упродовж п’яти років значно втратила позиції: рейтинг нестабільності підвищився на 23 пункти, а індекс нестабільності зріс на 9,19 %. </w:t>
      </w:r>
    </w:p>
    <w:p w:rsidR="00440EF5" w:rsidRPr="00F61554" w:rsidRDefault="00F61554"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Третьою групою факторів країни або чинників легалізації злочинних доходів є нормативно-правові, до яких віднесено ліберальне державне регулювання та недосконалість системи фінансового моніторингу.</w:t>
      </w:r>
      <w:r w:rsidR="00440EF5" w:rsidRPr="00F61554">
        <w:rPr>
          <w:rFonts w:ascii="Times New Roman" w:hAnsi="Times New Roman" w:cs="Times New Roman"/>
          <w:lang w:val="uk-UA"/>
        </w:rPr>
        <w:t xml:space="preserve"> Ліберальне державне регулювання економіки, у тому числі наявність всередині країни зон вільної торгівлі або регіонів спрощеного оподаткування, вільний (або недостатньо обмежений) доступ фінансових інститутів та інших суб’єктів до міжнародних ринків капіталу</w:t>
      </w:r>
      <w:r w:rsidR="00D176C8" w:rsidRPr="00F61554">
        <w:rPr>
          <w:rFonts w:ascii="Times New Roman" w:hAnsi="Times New Roman" w:cs="Times New Roman"/>
          <w:lang w:val="uk-UA"/>
        </w:rPr>
        <w:t>, поширення операцій з офшорними компаніями банків, підприємств та інших суб’єктів, можливість анонімних операцій, вільних обіг анонімних фінансових інструментів</w:t>
      </w:r>
      <w:r>
        <w:rPr>
          <w:rFonts w:ascii="Times New Roman" w:hAnsi="Times New Roman" w:cs="Times New Roman"/>
          <w:lang w:val="uk-UA"/>
        </w:rPr>
        <w:t>, неналежне валютне регулювання – все це значно сприяє різноманітним операціям і схемам, пов’язаним з відмиванням коштів.</w:t>
      </w:r>
      <w:r w:rsidR="00440EF5" w:rsidRPr="00F61554">
        <w:rPr>
          <w:rFonts w:ascii="Times New Roman" w:hAnsi="Times New Roman" w:cs="Times New Roman"/>
          <w:lang w:val="uk-UA"/>
        </w:rPr>
        <w:t xml:space="preserve"> Недосконалість </w:t>
      </w:r>
      <w:r w:rsidR="00B637C0" w:rsidRPr="00F61554">
        <w:rPr>
          <w:rFonts w:ascii="Times New Roman" w:hAnsi="Times New Roman" w:cs="Times New Roman"/>
          <w:lang w:val="uk-UA"/>
        </w:rPr>
        <w:t xml:space="preserve">системи фінансового контролю та моніторингу діяльності як суб’єктів фінансової діяльності, так і інших економічних суб’єктів, у тому числі неможливість обміну інформацією щодо </w:t>
      </w:r>
      <w:r w:rsidR="00954991" w:rsidRPr="00F61554">
        <w:rPr>
          <w:rFonts w:ascii="Times New Roman" w:hAnsi="Times New Roman" w:cs="Times New Roman"/>
          <w:lang w:val="uk-UA"/>
        </w:rPr>
        <w:t>відповідних злочинів з міжнародними органами правопорядку та фінансовими розвідками інших країни</w:t>
      </w:r>
      <w:r>
        <w:rPr>
          <w:rFonts w:ascii="Times New Roman" w:hAnsi="Times New Roman" w:cs="Times New Roman"/>
          <w:lang w:val="uk-UA"/>
        </w:rPr>
        <w:t xml:space="preserve"> також є фактором-стимулятором активізації процесів легалізації злочинних доходів.</w:t>
      </w:r>
    </w:p>
    <w:p w:rsidR="003D0FDC" w:rsidRPr="00A45744" w:rsidRDefault="00DB5D5C"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Узагальненим к</w:t>
      </w:r>
      <w:r w:rsidR="00F61554">
        <w:rPr>
          <w:rFonts w:ascii="Times New Roman" w:hAnsi="Times New Roman" w:cs="Times New Roman"/>
          <w:lang w:val="uk-UA"/>
        </w:rPr>
        <w:t>ількісни</w:t>
      </w:r>
      <w:r w:rsidRPr="00DB5D5C">
        <w:rPr>
          <w:rFonts w:ascii="Times New Roman" w:hAnsi="Times New Roman" w:cs="Times New Roman"/>
          <w:lang w:val="uk-UA"/>
        </w:rPr>
        <w:t>м</w:t>
      </w:r>
      <w:r w:rsidR="00F61554">
        <w:rPr>
          <w:rFonts w:ascii="Times New Roman" w:hAnsi="Times New Roman" w:cs="Times New Roman"/>
          <w:lang w:val="uk-UA"/>
        </w:rPr>
        <w:t xml:space="preserve"> вимірник</w:t>
      </w:r>
      <w:r>
        <w:rPr>
          <w:rFonts w:ascii="Times New Roman" w:hAnsi="Times New Roman" w:cs="Times New Roman"/>
          <w:lang w:val="uk-UA"/>
        </w:rPr>
        <w:t>ом</w:t>
      </w:r>
      <w:r w:rsidR="00F61554">
        <w:rPr>
          <w:rFonts w:ascii="Times New Roman" w:hAnsi="Times New Roman" w:cs="Times New Roman"/>
          <w:lang w:val="uk-UA"/>
        </w:rPr>
        <w:t xml:space="preserve"> нормативно-правових факторів </w:t>
      </w:r>
      <w:r>
        <w:rPr>
          <w:rFonts w:ascii="Times New Roman" w:hAnsi="Times New Roman" w:cs="Times New Roman"/>
          <w:lang w:val="uk-UA"/>
        </w:rPr>
        <w:t>може слугувати Індекс верховенства права (</w:t>
      </w:r>
      <w:r w:rsidRPr="00E1243F">
        <w:rPr>
          <w:rFonts w:ascii="Times New Roman" w:eastAsia="Times New Roman" w:hAnsi="Times New Roman" w:cs="Times New Roman"/>
          <w:lang w:val="en-US" w:eastAsia="ru-RU"/>
        </w:rPr>
        <w:t>Rule</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of</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Law</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Index</w:t>
      </w:r>
      <w:r>
        <w:rPr>
          <w:rFonts w:ascii="Times New Roman" w:hAnsi="Times New Roman" w:cs="Times New Roman"/>
          <w:lang w:val="uk-UA"/>
        </w:rPr>
        <w:t xml:space="preserve">), що вимірюється </w:t>
      </w:r>
      <w:r w:rsidR="00F846A0">
        <w:rPr>
          <w:rFonts w:ascii="Times New Roman" w:hAnsi="Times New Roman" w:cs="Times New Roman"/>
          <w:lang w:val="uk-UA"/>
        </w:rPr>
        <w:t xml:space="preserve">завдяки незалежній міжнародній ініціативі </w:t>
      </w:r>
      <w:r>
        <w:rPr>
          <w:rFonts w:ascii="Times New Roman" w:hAnsi="Times New Roman" w:cs="Times New Roman"/>
          <w:lang w:val="uk-UA"/>
        </w:rPr>
        <w:t xml:space="preserve"> </w:t>
      </w:r>
      <w:r w:rsidR="00F846A0">
        <w:rPr>
          <w:rFonts w:ascii="Times New Roman" w:hAnsi="Times New Roman" w:cs="Times New Roman"/>
          <w:lang w:val="uk-UA"/>
        </w:rPr>
        <w:t>Проект світової справедливості (</w:t>
      </w:r>
      <w:proofErr w:type="spellStart"/>
      <w:r w:rsidR="00F846A0" w:rsidRPr="00F846A0">
        <w:rPr>
          <w:rFonts w:ascii="Times New Roman" w:hAnsi="Times New Roman" w:cs="Times New Roman"/>
          <w:lang w:val="uk-UA"/>
        </w:rPr>
        <w:t>World</w:t>
      </w:r>
      <w:proofErr w:type="spellEnd"/>
      <w:r w:rsidR="00F846A0" w:rsidRPr="00F846A0">
        <w:rPr>
          <w:rFonts w:ascii="Times New Roman" w:hAnsi="Times New Roman" w:cs="Times New Roman"/>
          <w:lang w:val="uk-UA"/>
        </w:rPr>
        <w:t xml:space="preserve"> </w:t>
      </w:r>
      <w:proofErr w:type="spellStart"/>
      <w:r w:rsidR="00F846A0" w:rsidRPr="00F846A0">
        <w:rPr>
          <w:rFonts w:ascii="Times New Roman" w:hAnsi="Times New Roman" w:cs="Times New Roman"/>
          <w:lang w:val="uk-UA"/>
        </w:rPr>
        <w:t>Justice</w:t>
      </w:r>
      <w:proofErr w:type="spellEnd"/>
      <w:r w:rsidR="00F846A0" w:rsidRPr="00F846A0">
        <w:rPr>
          <w:rFonts w:ascii="Times New Roman" w:hAnsi="Times New Roman" w:cs="Times New Roman"/>
          <w:lang w:val="uk-UA"/>
        </w:rPr>
        <w:t xml:space="preserve"> Project</w:t>
      </w:r>
      <w:r w:rsidR="00F846A0">
        <w:rPr>
          <w:rFonts w:ascii="Times New Roman" w:hAnsi="Times New Roman" w:cs="Times New Roman"/>
          <w:lang w:val="uk-UA"/>
        </w:rPr>
        <w:t>)</w:t>
      </w:r>
      <w:r w:rsidR="007D0504">
        <w:rPr>
          <w:rStyle w:val="aa"/>
          <w:rFonts w:ascii="Times New Roman" w:hAnsi="Times New Roman" w:cs="Times New Roman"/>
          <w:lang w:val="uk-UA"/>
        </w:rPr>
        <w:footnoteReference w:id="9"/>
      </w:r>
      <w:r w:rsidR="00F846A0">
        <w:rPr>
          <w:rFonts w:ascii="Times New Roman" w:hAnsi="Times New Roman" w:cs="Times New Roman"/>
          <w:lang w:val="uk-UA"/>
        </w:rPr>
        <w:t>. Індекс верховенства права вимірюється від 0 до 1 і чим ближче значення індексу до 1, тим більш дієвими, раціональними та у певній мірі справедливими вважається нормативно-правова система держави (табл. 4).</w:t>
      </w:r>
    </w:p>
    <w:p w:rsidR="007D0504" w:rsidRDefault="007D0504" w:rsidP="004577CE">
      <w:pPr>
        <w:widowControl w:val="0"/>
        <w:spacing w:line="360" w:lineRule="auto"/>
        <w:ind w:firstLine="709"/>
        <w:jc w:val="right"/>
        <w:rPr>
          <w:rFonts w:ascii="Times New Roman" w:hAnsi="Times New Roman" w:cs="Times New Roman"/>
          <w:lang w:val="uk-UA"/>
        </w:rPr>
      </w:pPr>
    </w:p>
    <w:p w:rsidR="00E53521" w:rsidRDefault="00F65C54" w:rsidP="004577CE">
      <w:pPr>
        <w:widowControl w:val="0"/>
        <w:spacing w:line="360" w:lineRule="auto"/>
        <w:ind w:firstLine="709"/>
        <w:jc w:val="right"/>
        <w:rPr>
          <w:rFonts w:ascii="Times New Roman" w:hAnsi="Times New Roman" w:cs="Times New Roman"/>
          <w:lang w:val="uk-UA"/>
        </w:rPr>
      </w:pPr>
      <w:r>
        <w:rPr>
          <w:rFonts w:ascii="Times New Roman" w:hAnsi="Times New Roman" w:cs="Times New Roman"/>
          <w:lang w:val="uk-UA"/>
        </w:rPr>
        <w:lastRenderedPageBreak/>
        <w:t>Таблиця 4</w:t>
      </w:r>
    </w:p>
    <w:p w:rsidR="00F65C54" w:rsidRDefault="006A3BB8" w:rsidP="004577CE">
      <w:pPr>
        <w:widowControl w:val="0"/>
        <w:spacing w:line="360" w:lineRule="auto"/>
        <w:jc w:val="right"/>
        <w:rPr>
          <w:rFonts w:ascii="Times New Roman" w:hAnsi="Times New Roman" w:cs="Times New Roman"/>
          <w:lang w:val="uk-UA"/>
        </w:rPr>
      </w:pPr>
      <w:r>
        <w:rPr>
          <w:rFonts w:ascii="Times New Roman" w:hAnsi="Times New Roman" w:cs="Times New Roman"/>
          <w:lang w:val="uk-UA"/>
        </w:rPr>
        <w:t>Індекс верховенства права (</w:t>
      </w:r>
      <w:r w:rsidRPr="00E1243F">
        <w:rPr>
          <w:rFonts w:ascii="Times New Roman" w:eastAsia="Times New Roman" w:hAnsi="Times New Roman" w:cs="Times New Roman"/>
          <w:lang w:val="en-US" w:eastAsia="ru-RU"/>
        </w:rPr>
        <w:t>Rule</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of</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Law</w:t>
      </w:r>
      <w:r w:rsidRPr="00DB5D5C">
        <w:rPr>
          <w:rFonts w:ascii="Times New Roman" w:eastAsia="Times New Roman" w:hAnsi="Times New Roman" w:cs="Times New Roman"/>
          <w:lang w:val="uk-UA" w:eastAsia="ru-RU"/>
        </w:rPr>
        <w:t xml:space="preserve"> </w:t>
      </w:r>
      <w:r w:rsidRPr="00E1243F">
        <w:rPr>
          <w:rFonts w:ascii="Times New Roman" w:eastAsia="Times New Roman" w:hAnsi="Times New Roman" w:cs="Times New Roman"/>
          <w:lang w:val="en-US" w:eastAsia="ru-RU"/>
        </w:rPr>
        <w:t>Index</w:t>
      </w:r>
      <w:r>
        <w:rPr>
          <w:rFonts w:ascii="Times New Roman" w:hAnsi="Times New Roman" w:cs="Times New Roman"/>
          <w:lang w:val="uk-UA"/>
        </w:rPr>
        <w:t>) окремих країн світу у 2016 р.</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60"/>
        <w:gridCol w:w="1416"/>
        <w:gridCol w:w="1842"/>
        <w:gridCol w:w="1417"/>
        <w:gridCol w:w="1418"/>
      </w:tblGrid>
      <w:tr w:rsidR="007D0504" w:rsidRPr="006A3BB8" w:rsidTr="00444F37">
        <w:trPr>
          <w:trHeight w:val="255"/>
        </w:trPr>
        <w:tc>
          <w:tcPr>
            <w:tcW w:w="2122" w:type="dxa"/>
            <w:shd w:val="clear" w:color="auto" w:fill="auto"/>
            <w:noWrap/>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Країна</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w:t>
            </w:r>
            <w:r w:rsidRPr="006A3BB8">
              <w:rPr>
                <w:rFonts w:ascii="Times New Roman" w:eastAsia="Times New Roman" w:hAnsi="Times New Roman" w:cs="Times New Roman"/>
                <w:sz w:val="24"/>
                <w:szCs w:val="24"/>
                <w:lang w:val="uk-UA" w:eastAsia="ru-RU"/>
              </w:rPr>
              <w:t>ндекс</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6A3BB8">
              <w:rPr>
                <w:rFonts w:ascii="Times New Roman" w:eastAsia="Times New Roman" w:hAnsi="Times New Roman" w:cs="Times New Roman"/>
                <w:sz w:val="24"/>
                <w:szCs w:val="24"/>
                <w:lang w:val="uk-UA" w:eastAsia="ru-RU"/>
              </w:rPr>
              <w:t>ейтинг</w:t>
            </w:r>
          </w:p>
        </w:tc>
        <w:tc>
          <w:tcPr>
            <w:tcW w:w="1842"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Країна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w:t>
            </w:r>
            <w:r w:rsidRPr="006A3BB8">
              <w:rPr>
                <w:rFonts w:ascii="Times New Roman" w:eastAsia="Times New Roman" w:hAnsi="Times New Roman" w:cs="Times New Roman"/>
                <w:sz w:val="24"/>
                <w:szCs w:val="24"/>
                <w:lang w:val="uk-UA" w:eastAsia="ru-RU"/>
              </w:rPr>
              <w:t>ндекс</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6A3BB8">
              <w:rPr>
                <w:rFonts w:ascii="Times New Roman" w:eastAsia="Times New Roman" w:hAnsi="Times New Roman" w:cs="Times New Roman"/>
                <w:sz w:val="24"/>
                <w:szCs w:val="24"/>
                <w:lang w:val="uk-UA" w:eastAsia="ru-RU"/>
              </w:rPr>
              <w:t>ейтинг</w:t>
            </w:r>
          </w:p>
        </w:tc>
      </w:tr>
      <w:tr w:rsidR="007D0504" w:rsidRPr="006A3BB8" w:rsidTr="00444F37">
        <w:trPr>
          <w:trHeight w:val="240"/>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Данія</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0,89 (</w:t>
            </w:r>
            <w:proofErr w:type="spellStart"/>
            <w:r w:rsidRPr="006A3BB8">
              <w:rPr>
                <w:rFonts w:ascii="Times New Roman" w:eastAsia="Times New Roman" w:hAnsi="Times New Roman" w:cs="Times New Roman"/>
                <w:sz w:val="24"/>
                <w:szCs w:val="24"/>
                <w:lang w:val="uk-UA" w:eastAsia="ru-RU"/>
              </w:rPr>
              <w:t>max</w:t>
            </w:r>
            <w:proofErr w:type="spellEnd"/>
            <w:r w:rsidRPr="006A3BB8">
              <w:rPr>
                <w:rFonts w:ascii="Times New Roman" w:eastAsia="Times New Roman" w:hAnsi="Times New Roman" w:cs="Times New Roman"/>
                <w:sz w:val="24"/>
                <w:szCs w:val="24"/>
                <w:lang w:val="uk-UA" w:eastAsia="ru-RU"/>
              </w:rPr>
              <w:t>)</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1</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Грузія</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0,65</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34</w:t>
            </w:r>
          </w:p>
        </w:tc>
      </w:tr>
      <w:tr w:rsidR="007D0504" w:rsidRPr="006A3BB8" w:rsidTr="00444F37">
        <w:trPr>
          <w:trHeight w:val="255"/>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Норвегія</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0,88</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2</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Угорщина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0,57</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49</w:t>
            </w:r>
          </w:p>
        </w:tc>
      </w:tr>
      <w:tr w:rsidR="007D0504" w:rsidRPr="006A3BB8" w:rsidTr="00444F37">
        <w:trPr>
          <w:trHeight w:val="255"/>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Фінляндія</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0,87</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3</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Молдова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0,49</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77</w:t>
            </w:r>
          </w:p>
        </w:tc>
      </w:tr>
      <w:tr w:rsidR="007D0504" w:rsidRPr="006A3BB8" w:rsidTr="00444F37">
        <w:trPr>
          <w:trHeight w:val="255"/>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Німеччина</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0,86</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6</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Україна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0,49</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78</w:t>
            </w:r>
          </w:p>
        </w:tc>
      </w:tr>
      <w:tr w:rsidR="007D0504" w:rsidRPr="006A3BB8" w:rsidTr="00444F37">
        <w:trPr>
          <w:trHeight w:val="255"/>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Великобританія</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0,81</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10</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Туреччина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0,43</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99</w:t>
            </w:r>
          </w:p>
        </w:tc>
      </w:tr>
      <w:tr w:rsidR="007D0504" w:rsidRPr="006A3BB8" w:rsidTr="00444F37">
        <w:trPr>
          <w:trHeight w:val="255"/>
        </w:trPr>
        <w:tc>
          <w:tcPr>
            <w:tcW w:w="2122" w:type="dxa"/>
            <w:shd w:val="clear" w:color="auto" w:fill="auto"/>
            <w:vAlign w:val="bottom"/>
            <w:hideMark/>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Франція</w:t>
            </w:r>
          </w:p>
        </w:tc>
        <w:tc>
          <w:tcPr>
            <w:tcW w:w="1560"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0,72</w:t>
            </w:r>
          </w:p>
        </w:tc>
        <w:tc>
          <w:tcPr>
            <w:tcW w:w="1416" w:type="dxa"/>
            <w:shd w:val="clear" w:color="auto" w:fill="auto"/>
            <w:vAlign w:val="bottom"/>
            <w:hideMark/>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21</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 xml:space="preserve">Камбоджі </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0,33</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112</w:t>
            </w:r>
          </w:p>
        </w:tc>
      </w:tr>
      <w:tr w:rsidR="007D0504" w:rsidRPr="006A3BB8" w:rsidTr="00444F37">
        <w:trPr>
          <w:trHeight w:val="255"/>
        </w:trPr>
        <w:tc>
          <w:tcPr>
            <w:tcW w:w="2122" w:type="dxa"/>
            <w:shd w:val="clear" w:color="auto" w:fill="auto"/>
            <w:vAlign w:val="bottom"/>
          </w:tcPr>
          <w:p w:rsidR="007D0504" w:rsidRPr="006A3BB8" w:rsidRDefault="00444F37" w:rsidP="007D0504">
            <w:pPr>
              <w:widowContro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Чилі</w:t>
            </w:r>
          </w:p>
        </w:tc>
        <w:tc>
          <w:tcPr>
            <w:tcW w:w="1560" w:type="dxa"/>
            <w:shd w:val="clear" w:color="auto" w:fill="auto"/>
            <w:vAlign w:val="bottom"/>
          </w:tcPr>
          <w:p w:rsidR="007D0504" w:rsidRPr="006A3BB8" w:rsidRDefault="00444F37"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0,68</w:t>
            </w:r>
          </w:p>
        </w:tc>
        <w:tc>
          <w:tcPr>
            <w:tcW w:w="1416" w:type="dxa"/>
            <w:shd w:val="clear" w:color="auto" w:fill="auto"/>
            <w:vAlign w:val="bottom"/>
          </w:tcPr>
          <w:p w:rsidR="007D0504" w:rsidRPr="006A3BB8" w:rsidRDefault="00444F37" w:rsidP="00444F37">
            <w:pPr>
              <w:widowControl w:val="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1842" w:type="dxa"/>
            <w:vAlign w:val="bottom"/>
          </w:tcPr>
          <w:p w:rsidR="007D0504" w:rsidRPr="006A3BB8" w:rsidRDefault="007D0504" w:rsidP="007D0504">
            <w:pPr>
              <w:widowControl w:val="0"/>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Венесуела</w:t>
            </w:r>
          </w:p>
        </w:tc>
        <w:tc>
          <w:tcPr>
            <w:tcW w:w="1417"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0,28 (</w:t>
            </w:r>
            <w:proofErr w:type="spellStart"/>
            <w:r w:rsidRPr="006A3BB8">
              <w:rPr>
                <w:rFonts w:ascii="Times New Roman" w:eastAsia="Times New Roman" w:hAnsi="Times New Roman" w:cs="Times New Roman"/>
                <w:sz w:val="24"/>
                <w:szCs w:val="24"/>
                <w:lang w:val="uk-UA" w:eastAsia="ru-RU"/>
              </w:rPr>
              <w:t>min</w:t>
            </w:r>
            <w:proofErr w:type="spellEnd"/>
            <w:r w:rsidRPr="006A3BB8">
              <w:rPr>
                <w:rFonts w:ascii="Times New Roman" w:eastAsia="Times New Roman" w:hAnsi="Times New Roman" w:cs="Times New Roman"/>
                <w:sz w:val="24"/>
                <w:szCs w:val="24"/>
                <w:lang w:val="uk-UA" w:eastAsia="ru-RU"/>
              </w:rPr>
              <w:t>)</w:t>
            </w:r>
          </w:p>
        </w:tc>
        <w:tc>
          <w:tcPr>
            <w:tcW w:w="1418" w:type="dxa"/>
            <w:vAlign w:val="bottom"/>
          </w:tcPr>
          <w:p w:rsidR="007D0504" w:rsidRPr="006A3BB8" w:rsidRDefault="007D0504" w:rsidP="00444F37">
            <w:pPr>
              <w:widowControl w:val="0"/>
              <w:jc w:val="center"/>
              <w:rPr>
                <w:rFonts w:ascii="Times New Roman" w:eastAsia="Times New Roman" w:hAnsi="Times New Roman" w:cs="Times New Roman"/>
                <w:sz w:val="24"/>
                <w:szCs w:val="24"/>
                <w:lang w:val="uk-UA" w:eastAsia="ru-RU"/>
              </w:rPr>
            </w:pPr>
            <w:r w:rsidRPr="006A3BB8">
              <w:rPr>
                <w:rFonts w:ascii="Times New Roman" w:eastAsia="Times New Roman" w:hAnsi="Times New Roman" w:cs="Times New Roman"/>
                <w:sz w:val="24"/>
                <w:szCs w:val="24"/>
                <w:lang w:val="uk-UA" w:eastAsia="ru-RU"/>
              </w:rPr>
              <w:t>113</w:t>
            </w:r>
          </w:p>
        </w:tc>
      </w:tr>
    </w:tbl>
    <w:p w:rsidR="006A3BB8" w:rsidRDefault="006A3BB8" w:rsidP="004577CE">
      <w:pPr>
        <w:widowControl w:val="0"/>
        <w:spacing w:line="360" w:lineRule="auto"/>
        <w:ind w:firstLine="709"/>
        <w:jc w:val="right"/>
        <w:rPr>
          <w:rFonts w:ascii="Times New Roman" w:hAnsi="Times New Roman" w:cs="Times New Roman"/>
          <w:lang w:val="uk-UA"/>
        </w:rPr>
      </w:pPr>
    </w:p>
    <w:p w:rsidR="00F65C54" w:rsidRDefault="006A3BB8"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Окрім індексів, що відображають складові показники географічних факторів відмивання коштів</w:t>
      </w:r>
      <w:r w:rsidR="00DF2611">
        <w:rPr>
          <w:rFonts w:ascii="Times New Roman" w:hAnsi="Times New Roman" w:cs="Times New Roman"/>
          <w:lang w:val="uk-UA"/>
        </w:rPr>
        <w:t>, описаних вище,</w:t>
      </w:r>
      <w:r>
        <w:rPr>
          <w:rFonts w:ascii="Times New Roman" w:hAnsi="Times New Roman" w:cs="Times New Roman"/>
          <w:lang w:val="uk-UA"/>
        </w:rPr>
        <w:t xml:space="preserve"> також існує комплексний індекс – Базельський індекс протидії відмивання грошей (</w:t>
      </w:r>
      <w:r>
        <w:rPr>
          <w:rFonts w:ascii="Times New Roman" w:hAnsi="Times New Roman" w:cs="Times New Roman"/>
          <w:lang w:val="en-US"/>
        </w:rPr>
        <w:t>Basel</w:t>
      </w:r>
      <w:r w:rsidRPr="006A3BB8">
        <w:rPr>
          <w:rFonts w:ascii="Times New Roman" w:hAnsi="Times New Roman" w:cs="Times New Roman"/>
          <w:lang w:val="uk-UA"/>
        </w:rPr>
        <w:t xml:space="preserve"> </w:t>
      </w:r>
      <w:r>
        <w:rPr>
          <w:rFonts w:ascii="Times New Roman" w:hAnsi="Times New Roman" w:cs="Times New Roman"/>
          <w:lang w:val="en-US"/>
        </w:rPr>
        <w:t>Anti</w:t>
      </w:r>
      <w:r w:rsidRPr="006A3BB8">
        <w:rPr>
          <w:rFonts w:ascii="Times New Roman" w:hAnsi="Times New Roman" w:cs="Times New Roman"/>
          <w:lang w:val="uk-UA"/>
        </w:rPr>
        <w:t>-</w:t>
      </w:r>
      <w:r>
        <w:rPr>
          <w:rFonts w:ascii="Times New Roman" w:hAnsi="Times New Roman" w:cs="Times New Roman"/>
          <w:lang w:val="en-US"/>
        </w:rPr>
        <w:t>Money</w:t>
      </w:r>
      <w:r w:rsidRPr="006A3BB8">
        <w:rPr>
          <w:rFonts w:ascii="Times New Roman" w:hAnsi="Times New Roman" w:cs="Times New Roman"/>
          <w:lang w:val="uk-UA"/>
        </w:rPr>
        <w:t xml:space="preserve"> </w:t>
      </w:r>
      <w:r>
        <w:rPr>
          <w:rFonts w:ascii="Times New Roman" w:hAnsi="Times New Roman" w:cs="Times New Roman"/>
          <w:lang w:val="en-US"/>
        </w:rPr>
        <w:t>Laundering</w:t>
      </w:r>
      <w:r w:rsidR="0076119D">
        <w:rPr>
          <w:rFonts w:ascii="Times New Roman" w:hAnsi="Times New Roman" w:cs="Times New Roman"/>
          <w:lang w:val="uk-UA"/>
        </w:rPr>
        <w:t xml:space="preserve"> </w:t>
      </w:r>
      <w:r w:rsidR="0076119D">
        <w:rPr>
          <w:rFonts w:ascii="Times New Roman" w:hAnsi="Times New Roman" w:cs="Times New Roman"/>
          <w:lang w:val="en-US"/>
        </w:rPr>
        <w:t>Index</w:t>
      </w:r>
      <w:r>
        <w:rPr>
          <w:rFonts w:ascii="Times New Roman" w:hAnsi="Times New Roman" w:cs="Times New Roman"/>
          <w:lang w:val="uk-UA"/>
        </w:rPr>
        <w:t>)</w:t>
      </w:r>
      <w:r w:rsidR="00444F37">
        <w:rPr>
          <w:rStyle w:val="aa"/>
          <w:rFonts w:ascii="Times New Roman" w:hAnsi="Times New Roman" w:cs="Times New Roman"/>
          <w:lang w:val="uk-UA"/>
        </w:rPr>
        <w:footnoteReference w:id="10"/>
      </w:r>
      <w:r w:rsidR="00A533FA">
        <w:rPr>
          <w:rFonts w:ascii="Times New Roman" w:hAnsi="Times New Roman" w:cs="Times New Roman"/>
          <w:lang w:val="uk-UA"/>
        </w:rPr>
        <w:t>, який містить 14 складових, що об’єднані у 5 груп: 1) відмивання коштів та фінансування тероризму; 2) корупція; 3) фінансова прозорість та стандарти; 4) суспільна прозорість та відкритість бюджетів; 5) політичн</w:t>
      </w:r>
      <w:r w:rsidR="009179FA">
        <w:rPr>
          <w:rFonts w:ascii="Times New Roman" w:hAnsi="Times New Roman" w:cs="Times New Roman"/>
          <w:lang w:val="uk-UA"/>
        </w:rPr>
        <w:t>е</w:t>
      </w:r>
      <w:r w:rsidR="00A533FA">
        <w:rPr>
          <w:rFonts w:ascii="Times New Roman" w:hAnsi="Times New Roman" w:cs="Times New Roman"/>
          <w:lang w:val="uk-UA"/>
        </w:rPr>
        <w:t xml:space="preserve"> та юридичн</w:t>
      </w:r>
      <w:r w:rsidR="009179FA">
        <w:rPr>
          <w:rFonts w:ascii="Times New Roman" w:hAnsi="Times New Roman" w:cs="Times New Roman"/>
          <w:lang w:val="uk-UA"/>
        </w:rPr>
        <w:t>е середовище.</w:t>
      </w:r>
      <w:r w:rsidR="00DF2611">
        <w:rPr>
          <w:rFonts w:ascii="Times New Roman" w:hAnsi="Times New Roman" w:cs="Times New Roman"/>
          <w:lang w:val="uk-UA"/>
        </w:rPr>
        <w:t xml:space="preserve"> Базельський індекс протидії відмивання грошей </w:t>
      </w:r>
      <w:proofErr w:type="spellStart"/>
      <w:r w:rsidR="00DF2611">
        <w:rPr>
          <w:rFonts w:ascii="Times New Roman" w:hAnsi="Times New Roman" w:cs="Times New Roman"/>
          <w:lang w:val="uk-UA"/>
        </w:rPr>
        <w:t>агрегує</w:t>
      </w:r>
      <w:proofErr w:type="spellEnd"/>
      <w:r w:rsidR="00DF2611">
        <w:rPr>
          <w:rFonts w:ascii="Times New Roman" w:hAnsi="Times New Roman" w:cs="Times New Roman"/>
          <w:lang w:val="uk-UA"/>
        </w:rPr>
        <w:t xml:space="preserve"> інформацію з різних відкритих джерел, щоб кількісно оцінити процеси протиді</w:t>
      </w:r>
      <w:r w:rsidR="0076119D">
        <w:rPr>
          <w:rFonts w:ascii="Times New Roman" w:hAnsi="Times New Roman" w:cs="Times New Roman"/>
          <w:lang w:val="uk-UA"/>
        </w:rPr>
        <w:t>ї легалізації злочинних доходів, вимірюється від 0 до 1, де 0 означає низький ризик відмивання коштів, а 1 –</w:t>
      </w:r>
      <w:r w:rsidR="0076119D" w:rsidRPr="0076119D">
        <w:rPr>
          <w:rFonts w:ascii="Times New Roman" w:hAnsi="Times New Roman" w:cs="Times New Roman"/>
          <w:lang w:val="uk-UA"/>
        </w:rPr>
        <w:t xml:space="preserve"> </w:t>
      </w:r>
      <w:r w:rsidR="0076119D">
        <w:rPr>
          <w:rFonts w:ascii="Times New Roman" w:hAnsi="Times New Roman" w:cs="Times New Roman"/>
          <w:lang w:val="uk-UA"/>
        </w:rPr>
        <w:t>високий.</w:t>
      </w:r>
      <w:r w:rsidR="00DF2611">
        <w:rPr>
          <w:rFonts w:ascii="Times New Roman" w:hAnsi="Times New Roman" w:cs="Times New Roman"/>
          <w:lang w:val="uk-UA"/>
        </w:rPr>
        <w:t xml:space="preserve"> </w:t>
      </w:r>
      <w:r w:rsidR="0076119D">
        <w:rPr>
          <w:rFonts w:ascii="Times New Roman" w:hAnsi="Times New Roman" w:cs="Times New Roman"/>
          <w:lang w:val="uk-UA"/>
        </w:rPr>
        <w:t>К</w:t>
      </w:r>
      <w:r w:rsidR="00DF2611">
        <w:rPr>
          <w:rFonts w:ascii="Times New Roman" w:hAnsi="Times New Roman" w:cs="Times New Roman"/>
          <w:lang w:val="uk-UA"/>
        </w:rPr>
        <w:t>ожна груп</w:t>
      </w:r>
      <w:r w:rsidR="009B402F">
        <w:rPr>
          <w:rFonts w:ascii="Times New Roman" w:hAnsi="Times New Roman" w:cs="Times New Roman"/>
          <w:lang w:val="uk-UA"/>
        </w:rPr>
        <w:t>а</w:t>
      </w:r>
      <w:r w:rsidR="00DF2611">
        <w:rPr>
          <w:rFonts w:ascii="Times New Roman" w:hAnsi="Times New Roman" w:cs="Times New Roman"/>
          <w:lang w:val="uk-UA"/>
        </w:rPr>
        <w:t xml:space="preserve"> </w:t>
      </w:r>
      <w:r w:rsidR="0076119D">
        <w:rPr>
          <w:rFonts w:ascii="Times New Roman" w:hAnsi="Times New Roman" w:cs="Times New Roman"/>
          <w:lang w:val="uk-UA"/>
        </w:rPr>
        <w:t xml:space="preserve">складових Індексу </w:t>
      </w:r>
      <w:r w:rsidR="00DF2611">
        <w:rPr>
          <w:rFonts w:ascii="Times New Roman" w:hAnsi="Times New Roman" w:cs="Times New Roman"/>
          <w:lang w:val="uk-UA"/>
        </w:rPr>
        <w:t xml:space="preserve">має власний ваговий коефіцієнт участі загальному підсумковому значенні. 65 % Базельського індексу протидії відмивання грошей становить група показників щодо відмивання коштів та фінансування тероризму. Розробники методології побудови Базельського індексу протидії відмивання грошей застерігають, що хоча індекс і забезпечує певне </w:t>
      </w:r>
      <w:r w:rsidR="00DF2611" w:rsidRPr="00DF2611">
        <w:rPr>
          <w:rFonts w:ascii="Times New Roman" w:hAnsi="Times New Roman" w:cs="Times New Roman"/>
          <w:lang w:val="uk-UA"/>
        </w:rPr>
        <w:t>кількісне вимірювання діяльності з відмивання коштів та фінансування тероризму</w:t>
      </w:r>
      <w:r w:rsidR="00DF2611">
        <w:rPr>
          <w:rFonts w:ascii="Times New Roman" w:hAnsi="Times New Roman" w:cs="Times New Roman"/>
          <w:lang w:val="uk-UA"/>
        </w:rPr>
        <w:t>, його неможна розглядати як відправний пункт для формування рекомендацій</w:t>
      </w:r>
      <w:r w:rsidR="009867FF">
        <w:rPr>
          <w:rFonts w:ascii="Times New Roman" w:hAnsi="Times New Roman" w:cs="Times New Roman"/>
          <w:lang w:val="uk-UA"/>
        </w:rPr>
        <w:t xml:space="preserve">. Для цього необхідно скористатися складовими – </w:t>
      </w:r>
      <w:proofErr w:type="spellStart"/>
      <w:r w:rsidR="009867FF">
        <w:rPr>
          <w:rFonts w:ascii="Times New Roman" w:hAnsi="Times New Roman" w:cs="Times New Roman"/>
          <w:lang w:val="uk-UA"/>
        </w:rPr>
        <w:t>суб</w:t>
      </w:r>
      <w:proofErr w:type="spellEnd"/>
      <w:r w:rsidR="009867FF">
        <w:rPr>
          <w:rFonts w:ascii="Times New Roman" w:hAnsi="Times New Roman" w:cs="Times New Roman"/>
          <w:lang w:val="uk-UA"/>
        </w:rPr>
        <w:t>-індикаторами та провести більш детальний аналіз ситуації у кожній окремій країни. Проте слід зауважити, що аналогів Базельського індексу протидії відмиванн</w:t>
      </w:r>
      <w:r w:rsidR="001622E8">
        <w:rPr>
          <w:rFonts w:ascii="Times New Roman" w:hAnsi="Times New Roman" w:cs="Times New Roman"/>
          <w:lang w:val="uk-UA"/>
        </w:rPr>
        <w:t>ю</w:t>
      </w:r>
      <w:r w:rsidR="009867FF">
        <w:rPr>
          <w:rFonts w:ascii="Times New Roman" w:hAnsi="Times New Roman" w:cs="Times New Roman"/>
          <w:lang w:val="uk-UA"/>
        </w:rPr>
        <w:t xml:space="preserve"> грошей</w:t>
      </w:r>
      <w:r w:rsidR="009867FF" w:rsidRPr="009867FF">
        <w:rPr>
          <w:rFonts w:ascii="Times New Roman" w:hAnsi="Times New Roman" w:cs="Times New Roman"/>
          <w:lang w:val="uk-UA"/>
        </w:rPr>
        <w:t xml:space="preserve"> </w:t>
      </w:r>
      <w:r w:rsidR="009867FF">
        <w:rPr>
          <w:rFonts w:ascii="Times New Roman" w:hAnsi="Times New Roman" w:cs="Times New Roman"/>
          <w:lang w:val="uk-UA"/>
        </w:rPr>
        <w:t xml:space="preserve">поки що не існує. Навіть Звіти ФАТФ щодо взаємного оцінювання діяльності країн з протидії </w:t>
      </w:r>
      <w:r w:rsidR="009867FF">
        <w:rPr>
          <w:rFonts w:ascii="Times New Roman" w:hAnsi="Times New Roman" w:cs="Times New Roman"/>
          <w:lang w:val="uk-UA"/>
        </w:rPr>
        <w:lastRenderedPageBreak/>
        <w:t>відмиванню коштів не випускаються щорічно. Дані щодо Базельського індексу протидії відмивання грошей у окремих країнах світу подано в табл. 5.</w:t>
      </w:r>
    </w:p>
    <w:p w:rsidR="009867FF" w:rsidRDefault="009867FF" w:rsidP="004577CE">
      <w:pPr>
        <w:widowControl w:val="0"/>
        <w:spacing w:line="360" w:lineRule="auto"/>
        <w:ind w:firstLine="709"/>
        <w:jc w:val="right"/>
        <w:rPr>
          <w:rFonts w:ascii="Times New Roman" w:hAnsi="Times New Roman" w:cs="Times New Roman"/>
          <w:lang w:val="uk-UA"/>
        </w:rPr>
      </w:pPr>
      <w:r>
        <w:rPr>
          <w:rFonts w:ascii="Times New Roman" w:hAnsi="Times New Roman" w:cs="Times New Roman"/>
          <w:lang w:val="uk-UA"/>
        </w:rPr>
        <w:t>Таблиця 5</w:t>
      </w:r>
    </w:p>
    <w:p w:rsidR="007632EF" w:rsidRDefault="00FE4648" w:rsidP="004577CE">
      <w:pPr>
        <w:widowControl w:val="0"/>
        <w:spacing w:line="360" w:lineRule="auto"/>
        <w:jc w:val="center"/>
        <w:rPr>
          <w:rFonts w:ascii="Times New Roman" w:hAnsi="Times New Roman" w:cs="Times New Roman"/>
          <w:lang w:val="uk-UA"/>
        </w:rPr>
      </w:pPr>
      <w:r>
        <w:rPr>
          <w:rFonts w:ascii="Times New Roman" w:hAnsi="Times New Roman" w:cs="Times New Roman"/>
          <w:lang w:val="uk-UA"/>
        </w:rPr>
        <w:t>Базельський індекс протидії відмиванн</w:t>
      </w:r>
      <w:r w:rsidR="009B402F">
        <w:rPr>
          <w:rFonts w:ascii="Times New Roman" w:hAnsi="Times New Roman" w:cs="Times New Roman"/>
          <w:lang w:val="uk-UA"/>
        </w:rPr>
        <w:t>ю</w:t>
      </w:r>
      <w:r>
        <w:rPr>
          <w:rFonts w:ascii="Times New Roman" w:hAnsi="Times New Roman" w:cs="Times New Roman"/>
          <w:lang w:val="uk-UA"/>
        </w:rPr>
        <w:t xml:space="preserve"> грошей (</w:t>
      </w:r>
      <w:r>
        <w:rPr>
          <w:rFonts w:ascii="Times New Roman" w:hAnsi="Times New Roman" w:cs="Times New Roman"/>
          <w:lang w:val="en-US"/>
        </w:rPr>
        <w:t>Basel</w:t>
      </w:r>
      <w:r w:rsidRPr="006A3BB8">
        <w:rPr>
          <w:rFonts w:ascii="Times New Roman" w:hAnsi="Times New Roman" w:cs="Times New Roman"/>
          <w:lang w:val="uk-UA"/>
        </w:rPr>
        <w:t xml:space="preserve"> </w:t>
      </w:r>
      <w:r>
        <w:rPr>
          <w:rFonts w:ascii="Times New Roman" w:hAnsi="Times New Roman" w:cs="Times New Roman"/>
          <w:lang w:val="en-US"/>
        </w:rPr>
        <w:t>Anti</w:t>
      </w:r>
      <w:r w:rsidRPr="006A3BB8">
        <w:rPr>
          <w:rFonts w:ascii="Times New Roman" w:hAnsi="Times New Roman" w:cs="Times New Roman"/>
          <w:lang w:val="uk-UA"/>
        </w:rPr>
        <w:t>-</w:t>
      </w:r>
      <w:r>
        <w:rPr>
          <w:rFonts w:ascii="Times New Roman" w:hAnsi="Times New Roman" w:cs="Times New Roman"/>
          <w:lang w:val="en-US"/>
        </w:rPr>
        <w:t>Money</w:t>
      </w:r>
      <w:r w:rsidRPr="006A3BB8">
        <w:rPr>
          <w:rFonts w:ascii="Times New Roman" w:hAnsi="Times New Roman" w:cs="Times New Roman"/>
          <w:lang w:val="uk-UA"/>
        </w:rPr>
        <w:t xml:space="preserve"> </w:t>
      </w:r>
      <w:r>
        <w:rPr>
          <w:rFonts w:ascii="Times New Roman" w:hAnsi="Times New Roman" w:cs="Times New Roman"/>
          <w:lang w:val="en-US"/>
        </w:rPr>
        <w:t>Laundering</w:t>
      </w:r>
      <w:r>
        <w:rPr>
          <w:rFonts w:ascii="Times New Roman" w:hAnsi="Times New Roman" w:cs="Times New Roman"/>
          <w:lang w:val="uk-UA"/>
        </w:rPr>
        <w:t xml:space="preserve"> </w:t>
      </w:r>
      <w:r>
        <w:rPr>
          <w:rFonts w:ascii="Times New Roman" w:hAnsi="Times New Roman" w:cs="Times New Roman"/>
          <w:lang w:val="en-US"/>
        </w:rPr>
        <w:t>Index</w:t>
      </w:r>
      <w:r>
        <w:rPr>
          <w:rFonts w:ascii="Times New Roman" w:hAnsi="Times New Roman" w:cs="Times New Roman"/>
          <w:lang w:val="uk-UA"/>
        </w:rPr>
        <w:t>)</w:t>
      </w:r>
      <w:r w:rsidR="00444F37">
        <w:rPr>
          <w:rStyle w:val="aa"/>
          <w:rFonts w:ascii="Times New Roman" w:hAnsi="Times New Roman" w:cs="Times New Roman"/>
          <w:lang w:val="uk-UA"/>
        </w:rPr>
        <w:footnoteReference w:id="11"/>
      </w:r>
      <w:r>
        <w:rPr>
          <w:rFonts w:ascii="Times New Roman" w:hAnsi="Times New Roman" w:cs="Times New Roman"/>
          <w:lang w:val="uk-UA"/>
        </w:rPr>
        <w:t xml:space="preserve"> та рейтинг за цим індексом окремих країн світу </w:t>
      </w:r>
      <w:r>
        <w:rPr>
          <w:rFonts w:ascii="Times New Roman" w:hAnsi="Times New Roman" w:cs="Times New Roman"/>
          <w:lang w:val="uk-UA"/>
        </w:rPr>
        <w:br/>
        <w:t>у 2012 та 2017 роках</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40"/>
        <w:gridCol w:w="1320"/>
        <w:gridCol w:w="1320"/>
        <w:gridCol w:w="1320"/>
        <w:gridCol w:w="1320"/>
        <w:gridCol w:w="1431"/>
      </w:tblGrid>
      <w:tr w:rsidR="00525FC7" w:rsidRPr="00525FC7" w:rsidTr="00525FC7">
        <w:trPr>
          <w:trHeight w:val="315"/>
        </w:trPr>
        <w:tc>
          <w:tcPr>
            <w:tcW w:w="2640" w:type="dxa"/>
            <w:vMerge w:val="restart"/>
            <w:shd w:val="clear" w:color="auto" w:fill="auto"/>
            <w:noWrap/>
            <w:vAlign w:val="center"/>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Країна</w:t>
            </w:r>
          </w:p>
        </w:tc>
        <w:tc>
          <w:tcPr>
            <w:tcW w:w="2640" w:type="dxa"/>
            <w:gridSpan w:val="2"/>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2012</w:t>
            </w:r>
          </w:p>
        </w:tc>
        <w:tc>
          <w:tcPr>
            <w:tcW w:w="2640" w:type="dxa"/>
            <w:gridSpan w:val="2"/>
            <w:shd w:val="clear" w:color="auto" w:fill="auto"/>
            <w:noWrap/>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2017</w:t>
            </w:r>
          </w:p>
        </w:tc>
        <w:tc>
          <w:tcPr>
            <w:tcW w:w="1431" w:type="dxa"/>
            <w:vMerge w:val="restart"/>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Зміни індексу за 5 років</w:t>
            </w:r>
          </w:p>
        </w:tc>
      </w:tr>
      <w:tr w:rsidR="00525FC7" w:rsidRPr="00525FC7" w:rsidTr="00525FC7">
        <w:trPr>
          <w:trHeight w:val="315"/>
        </w:trPr>
        <w:tc>
          <w:tcPr>
            <w:tcW w:w="2640" w:type="dxa"/>
            <w:vMerge/>
            <w:shd w:val="clear" w:color="auto" w:fill="auto"/>
            <w:noWrap/>
            <w:vAlign w:val="center"/>
          </w:tcPr>
          <w:p w:rsidR="00525FC7" w:rsidRPr="00525FC7" w:rsidRDefault="00525FC7" w:rsidP="004577CE">
            <w:pPr>
              <w:widowControl w:val="0"/>
              <w:rPr>
                <w:rFonts w:ascii="Times New Roman" w:eastAsia="Times New Roman" w:hAnsi="Times New Roman" w:cs="Times New Roman"/>
                <w:color w:val="000000"/>
                <w:sz w:val="24"/>
                <w:szCs w:val="24"/>
                <w:lang w:eastAsia="ru-RU"/>
              </w:rPr>
            </w:pPr>
          </w:p>
        </w:tc>
        <w:tc>
          <w:tcPr>
            <w:tcW w:w="1320" w:type="dxa"/>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Індекс</w:t>
            </w:r>
          </w:p>
        </w:tc>
        <w:tc>
          <w:tcPr>
            <w:tcW w:w="1320" w:type="dxa"/>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Рейтинг</w:t>
            </w:r>
          </w:p>
        </w:tc>
        <w:tc>
          <w:tcPr>
            <w:tcW w:w="1320" w:type="dxa"/>
            <w:shd w:val="clear" w:color="auto" w:fill="auto"/>
            <w:noWrap/>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Індекс</w:t>
            </w:r>
          </w:p>
        </w:tc>
        <w:tc>
          <w:tcPr>
            <w:tcW w:w="1320" w:type="dxa"/>
            <w:shd w:val="clear" w:color="auto" w:fill="auto"/>
            <w:noWrap/>
          </w:tcPr>
          <w:p w:rsidR="00525FC7" w:rsidRPr="00525FC7" w:rsidRDefault="00525FC7"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Рейтинг</w:t>
            </w:r>
          </w:p>
        </w:tc>
        <w:tc>
          <w:tcPr>
            <w:tcW w:w="1431" w:type="dxa"/>
            <w:vMerge/>
            <w:vAlign w:val="bottom"/>
          </w:tcPr>
          <w:p w:rsidR="00525FC7" w:rsidRPr="00525FC7" w:rsidRDefault="00525FC7" w:rsidP="004577CE">
            <w:pPr>
              <w:widowControl w:val="0"/>
              <w:jc w:val="center"/>
              <w:rPr>
                <w:rFonts w:ascii="Times New Roman" w:hAnsi="Times New Roman" w:cs="Times New Roman"/>
                <w:sz w:val="24"/>
                <w:szCs w:val="24"/>
              </w:rPr>
            </w:pPr>
          </w:p>
        </w:tc>
      </w:tr>
      <w:tr w:rsidR="00FE4648" w:rsidRPr="00525FC7" w:rsidTr="00525FC7">
        <w:trPr>
          <w:trHeight w:val="315"/>
        </w:trPr>
        <w:tc>
          <w:tcPr>
            <w:tcW w:w="2640" w:type="dxa"/>
            <w:shd w:val="clear" w:color="auto" w:fill="auto"/>
            <w:noWrap/>
            <w:vAlign w:val="center"/>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Іран</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en-US" w:eastAsia="ru-RU"/>
              </w:rPr>
            </w:pPr>
            <w:r w:rsidRPr="00525FC7">
              <w:rPr>
                <w:rFonts w:ascii="Times New Roman" w:eastAsia="Times New Roman" w:hAnsi="Times New Roman" w:cs="Times New Roman"/>
                <w:color w:val="000000"/>
                <w:sz w:val="24"/>
                <w:szCs w:val="24"/>
                <w:lang w:val="en-US" w:eastAsia="ru-RU"/>
              </w:rPr>
              <w:t>8,57</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en-US" w:eastAsia="ru-RU"/>
              </w:rPr>
            </w:pPr>
            <w:r w:rsidRPr="00525FC7">
              <w:rPr>
                <w:rFonts w:ascii="Times New Roman" w:eastAsia="Times New Roman" w:hAnsi="Times New Roman" w:cs="Times New Roman"/>
                <w:color w:val="000000"/>
                <w:sz w:val="24"/>
                <w:szCs w:val="24"/>
                <w:lang w:val="en-US" w:eastAsia="ru-RU"/>
              </w:rPr>
              <w:t>1</w:t>
            </w:r>
          </w:p>
        </w:tc>
        <w:tc>
          <w:tcPr>
            <w:tcW w:w="1320" w:type="dxa"/>
            <w:shd w:val="clear" w:color="auto" w:fill="auto"/>
            <w:noWrap/>
            <w:vAlign w:val="bottom"/>
            <w:hideMark/>
          </w:tcPr>
          <w:p w:rsidR="00FE4648" w:rsidRPr="00525FC7" w:rsidRDefault="00FE4648" w:rsidP="004577CE">
            <w:pPr>
              <w:widowControl w:val="0"/>
              <w:rPr>
                <w:rFonts w:ascii="Times New Roman" w:eastAsia="Times New Roman" w:hAnsi="Times New Roman" w:cs="Times New Roman"/>
                <w:color w:val="000000"/>
                <w:sz w:val="24"/>
                <w:szCs w:val="24"/>
                <w:lang w:val="en-US" w:eastAsia="ru-RU"/>
              </w:rPr>
            </w:pPr>
            <w:r w:rsidRPr="00525FC7">
              <w:rPr>
                <w:rFonts w:ascii="Times New Roman" w:eastAsia="Times New Roman" w:hAnsi="Times New Roman" w:cs="Times New Roman"/>
                <w:color w:val="000000"/>
                <w:sz w:val="24"/>
                <w:szCs w:val="24"/>
                <w:lang w:eastAsia="ru-RU"/>
              </w:rPr>
              <w:t>8,60</w:t>
            </w:r>
            <w:r w:rsidRPr="00525FC7">
              <w:rPr>
                <w:rFonts w:ascii="Times New Roman" w:eastAsia="Times New Roman" w:hAnsi="Times New Roman" w:cs="Times New Roman"/>
                <w:color w:val="000000"/>
                <w:sz w:val="24"/>
                <w:szCs w:val="24"/>
                <w:lang w:val="en-US" w:eastAsia="ru-RU"/>
              </w:rPr>
              <w:t xml:space="preserve"> (max)</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1</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0,35</w:t>
            </w:r>
          </w:p>
        </w:tc>
      </w:tr>
      <w:tr w:rsidR="00FE4648" w:rsidRPr="00525FC7" w:rsidTr="00525FC7">
        <w:trPr>
          <w:trHeight w:val="315"/>
        </w:trPr>
        <w:tc>
          <w:tcPr>
            <w:tcW w:w="2640" w:type="dxa"/>
            <w:shd w:val="clear" w:color="auto" w:fill="auto"/>
            <w:noWrap/>
            <w:vAlign w:val="center"/>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Афганістан</w:t>
            </w:r>
          </w:p>
        </w:tc>
        <w:tc>
          <w:tcPr>
            <w:tcW w:w="2640" w:type="dxa"/>
            <w:gridSpan w:val="2"/>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Немає даних</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8,38</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2</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w:t>
            </w:r>
          </w:p>
        </w:tc>
      </w:tr>
      <w:tr w:rsidR="00FE4648" w:rsidRPr="00525FC7" w:rsidTr="00525FC7">
        <w:trPr>
          <w:trHeight w:val="315"/>
        </w:trPr>
        <w:tc>
          <w:tcPr>
            <w:tcW w:w="2640" w:type="dxa"/>
            <w:shd w:val="clear" w:color="auto" w:fill="auto"/>
            <w:noWrap/>
            <w:vAlign w:val="center"/>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Гвінея Бісау</w:t>
            </w:r>
          </w:p>
        </w:tc>
        <w:tc>
          <w:tcPr>
            <w:tcW w:w="2640" w:type="dxa"/>
            <w:gridSpan w:val="2"/>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Немає даних</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8,35</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3</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w:t>
            </w:r>
          </w:p>
        </w:tc>
      </w:tr>
      <w:tr w:rsidR="00FE4648" w:rsidRPr="00525FC7" w:rsidTr="00525FC7">
        <w:trPr>
          <w:trHeight w:val="315"/>
        </w:trPr>
        <w:tc>
          <w:tcPr>
            <w:tcW w:w="2640" w:type="dxa"/>
            <w:shd w:val="clear" w:color="auto" w:fill="auto"/>
            <w:noWrap/>
            <w:vAlign w:val="center"/>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Таджикистан</w:t>
            </w:r>
          </w:p>
        </w:tc>
        <w:tc>
          <w:tcPr>
            <w:tcW w:w="2640" w:type="dxa"/>
            <w:gridSpan w:val="2"/>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Немає даних</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8,28</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4</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w:t>
            </w:r>
          </w:p>
        </w:tc>
      </w:tr>
      <w:tr w:rsidR="00FE4648" w:rsidRPr="00525FC7" w:rsidTr="00525FC7">
        <w:trPr>
          <w:trHeight w:val="315"/>
        </w:trPr>
        <w:tc>
          <w:tcPr>
            <w:tcW w:w="2640" w:type="dxa"/>
            <w:shd w:val="clear" w:color="auto" w:fill="auto"/>
            <w:noWrap/>
            <w:vAlign w:val="center"/>
            <w:hideMark/>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Гаїті</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en-US" w:eastAsia="ru-RU"/>
              </w:rPr>
            </w:pPr>
            <w:r w:rsidRPr="00525FC7">
              <w:rPr>
                <w:rFonts w:ascii="Times New Roman" w:eastAsia="Times New Roman" w:hAnsi="Times New Roman" w:cs="Times New Roman"/>
                <w:color w:val="000000"/>
                <w:sz w:val="24"/>
                <w:szCs w:val="24"/>
                <w:lang w:val="en-US" w:eastAsia="ru-RU"/>
              </w:rPr>
              <w:t>8,16</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en-US" w:eastAsia="ru-RU"/>
              </w:rPr>
            </w:pPr>
            <w:r w:rsidRPr="00525FC7">
              <w:rPr>
                <w:rFonts w:ascii="Times New Roman" w:eastAsia="Times New Roman" w:hAnsi="Times New Roman" w:cs="Times New Roman"/>
                <w:color w:val="000000"/>
                <w:sz w:val="24"/>
                <w:szCs w:val="24"/>
                <w:lang w:val="en-US" w:eastAsia="ru-RU"/>
              </w:rPr>
              <w:t>4</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7,50</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17</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-8,09</w:t>
            </w:r>
          </w:p>
        </w:tc>
      </w:tr>
      <w:tr w:rsidR="00FE4648" w:rsidRPr="00525FC7" w:rsidTr="00525FC7">
        <w:trPr>
          <w:trHeight w:val="315"/>
        </w:trPr>
        <w:tc>
          <w:tcPr>
            <w:tcW w:w="2640" w:type="dxa"/>
            <w:shd w:val="clear" w:color="auto" w:fill="auto"/>
            <w:noWrap/>
            <w:vAlign w:val="center"/>
            <w:hideMark/>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В’єтнам</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6,83</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22</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7,44</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18</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8,93</w:t>
            </w:r>
          </w:p>
        </w:tc>
      </w:tr>
      <w:tr w:rsidR="00FE4648" w:rsidRPr="00525FC7" w:rsidTr="00525FC7">
        <w:trPr>
          <w:trHeight w:val="315"/>
        </w:trPr>
        <w:tc>
          <w:tcPr>
            <w:tcW w:w="2640" w:type="dxa"/>
            <w:shd w:val="clear" w:color="auto" w:fill="auto"/>
            <w:noWrap/>
            <w:vAlign w:val="center"/>
            <w:hideMark/>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Ємен</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7,32</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14</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6,80</w:t>
            </w:r>
          </w:p>
        </w:tc>
        <w:tc>
          <w:tcPr>
            <w:tcW w:w="1320" w:type="dxa"/>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37</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-7,10</w:t>
            </w:r>
          </w:p>
        </w:tc>
      </w:tr>
      <w:tr w:rsidR="00FE4648" w:rsidRPr="00525FC7" w:rsidTr="008A38AA">
        <w:trPr>
          <w:trHeight w:val="315"/>
        </w:trPr>
        <w:tc>
          <w:tcPr>
            <w:tcW w:w="2640" w:type="dxa"/>
            <w:tcBorders>
              <w:bottom w:val="single" w:sz="6" w:space="0" w:color="auto"/>
            </w:tcBorders>
            <w:shd w:val="clear" w:color="auto" w:fill="auto"/>
            <w:noWrap/>
            <w:vAlign w:val="center"/>
            <w:hideMark/>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Туреччина</w:t>
            </w:r>
          </w:p>
        </w:tc>
        <w:tc>
          <w:tcPr>
            <w:tcW w:w="1320" w:type="dxa"/>
            <w:tcBorders>
              <w:bottom w:val="single" w:sz="6" w:space="0" w:color="auto"/>
            </w:tcBorders>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5,99</w:t>
            </w:r>
          </w:p>
        </w:tc>
        <w:tc>
          <w:tcPr>
            <w:tcW w:w="1320" w:type="dxa"/>
            <w:tcBorders>
              <w:bottom w:val="single" w:sz="6" w:space="0" w:color="auto"/>
            </w:tcBorders>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58</w:t>
            </w:r>
          </w:p>
        </w:tc>
        <w:tc>
          <w:tcPr>
            <w:tcW w:w="1320" w:type="dxa"/>
            <w:tcBorders>
              <w:bottom w:val="single" w:sz="6" w:space="0" w:color="auto"/>
            </w:tcBorders>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6,65</w:t>
            </w:r>
          </w:p>
        </w:tc>
        <w:tc>
          <w:tcPr>
            <w:tcW w:w="1320" w:type="dxa"/>
            <w:tcBorders>
              <w:bottom w:val="single" w:sz="6" w:space="0" w:color="auto"/>
            </w:tcBorders>
            <w:shd w:val="clear" w:color="auto" w:fill="auto"/>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43</w:t>
            </w:r>
          </w:p>
        </w:tc>
        <w:tc>
          <w:tcPr>
            <w:tcW w:w="1431" w:type="dxa"/>
            <w:tcBorders>
              <w:bottom w:val="single" w:sz="6" w:space="0" w:color="auto"/>
            </w:tcBorders>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11,02</w:t>
            </w:r>
          </w:p>
        </w:tc>
      </w:tr>
      <w:tr w:rsidR="00FE4648" w:rsidRPr="00525FC7" w:rsidTr="008A38AA">
        <w:trPr>
          <w:trHeight w:val="315"/>
        </w:trPr>
        <w:tc>
          <w:tcPr>
            <w:tcW w:w="2640" w:type="dxa"/>
            <w:tcBorders>
              <w:top w:val="single" w:sz="6" w:space="0" w:color="auto"/>
              <w:bottom w:val="single" w:sz="6" w:space="0" w:color="auto"/>
            </w:tcBorders>
            <w:shd w:val="clear" w:color="auto" w:fill="BFBFBF" w:themeFill="background1" w:themeFillShade="BF"/>
            <w:noWrap/>
            <w:vAlign w:val="center"/>
            <w:hideMark/>
          </w:tcPr>
          <w:p w:rsidR="00FE4648" w:rsidRPr="00525FC7"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Україна</w:t>
            </w:r>
          </w:p>
        </w:tc>
        <w:tc>
          <w:tcPr>
            <w:tcW w:w="1320" w:type="dxa"/>
            <w:tcBorders>
              <w:top w:val="single" w:sz="6" w:space="0" w:color="auto"/>
              <w:bottom w:val="single" w:sz="6" w:space="0" w:color="auto"/>
            </w:tcBorders>
            <w:shd w:val="clear" w:color="auto" w:fill="BFBFBF" w:themeFill="background1" w:themeFillShade="BF"/>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6,62</w:t>
            </w:r>
          </w:p>
        </w:tc>
        <w:tc>
          <w:tcPr>
            <w:tcW w:w="1320" w:type="dxa"/>
            <w:tcBorders>
              <w:top w:val="single" w:sz="6" w:space="0" w:color="auto"/>
              <w:bottom w:val="single" w:sz="6" w:space="0" w:color="auto"/>
            </w:tcBorders>
            <w:shd w:val="clear" w:color="auto" w:fill="BFBFBF" w:themeFill="background1" w:themeFillShade="BF"/>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36</w:t>
            </w:r>
          </w:p>
        </w:tc>
        <w:tc>
          <w:tcPr>
            <w:tcW w:w="1320" w:type="dxa"/>
            <w:tcBorders>
              <w:top w:val="single" w:sz="6" w:space="0" w:color="auto"/>
              <w:bottom w:val="single" w:sz="6" w:space="0" w:color="auto"/>
            </w:tcBorders>
            <w:shd w:val="clear" w:color="auto" w:fill="BFBFBF" w:themeFill="background1" w:themeFillShade="BF"/>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6,52</w:t>
            </w:r>
          </w:p>
        </w:tc>
        <w:tc>
          <w:tcPr>
            <w:tcW w:w="1320" w:type="dxa"/>
            <w:tcBorders>
              <w:top w:val="single" w:sz="6" w:space="0" w:color="auto"/>
              <w:bottom w:val="single" w:sz="6" w:space="0" w:color="auto"/>
            </w:tcBorders>
            <w:shd w:val="clear" w:color="auto" w:fill="BFBFBF" w:themeFill="background1" w:themeFillShade="BF"/>
            <w:noWrap/>
            <w:vAlign w:val="bottom"/>
            <w:hideMark/>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eastAsia="ru-RU"/>
              </w:rPr>
              <w:t>52</w:t>
            </w:r>
          </w:p>
        </w:tc>
        <w:tc>
          <w:tcPr>
            <w:tcW w:w="1431" w:type="dxa"/>
            <w:tcBorders>
              <w:top w:val="single" w:sz="6" w:space="0" w:color="auto"/>
              <w:bottom w:val="single" w:sz="6" w:space="0" w:color="auto"/>
            </w:tcBorders>
            <w:shd w:val="clear" w:color="auto" w:fill="BFBFBF" w:themeFill="background1" w:themeFillShade="BF"/>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-1,51</w:t>
            </w:r>
          </w:p>
        </w:tc>
      </w:tr>
      <w:tr w:rsidR="00FE4648" w:rsidRPr="00525FC7" w:rsidTr="008A38AA">
        <w:trPr>
          <w:trHeight w:val="315"/>
        </w:trPr>
        <w:tc>
          <w:tcPr>
            <w:tcW w:w="2640" w:type="dxa"/>
            <w:tcBorders>
              <w:top w:val="single" w:sz="6" w:space="0" w:color="auto"/>
            </w:tcBorders>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Росія</w:t>
            </w:r>
          </w:p>
        </w:tc>
        <w:tc>
          <w:tcPr>
            <w:tcW w:w="1320" w:type="dxa"/>
            <w:tcBorders>
              <w:top w:val="single" w:sz="6" w:space="0" w:color="auto"/>
            </w:tcBorders>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5,66</w:t>
            </w:r>
          </w:p>
        </w:tc>
        <w:tc>
          <w:tcPr>
            <w:tcW w:w="1320" w:type="dxa"/>
            <w:tcBorders>
              <w:top w:val="single" w:sz="6" w:space="0" w:color="auto"/>
            </w:tcBorders>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79</w:t>
            </w:r>
          </w:p>
        </w:tc>
        <w:tc>
          <w:tcPr>
            <w:tcW w:w="1320" w:type="dxa"/>
            <w:tcBorders>
              <w:top w:val="single" w:sz="6" w:space="0" w:color="auto"/>
            </w:tcBorders>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6,22</w:t>
            </w:r>
          </w:p>
        </w:tc>
        <w:tc>
          <w:tcPr>
            <w:tcW w:w="1320" w:type="dxa"/>
            <w:tcBorders>
              <w:top w:val="single" w:sz="6" w:space="0" w:color="auto"/>
            </w:tcBorders>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64</w:t>
            </w:r>
          </w:p>
        </w:tc>
        <w:tc>
          <w:tcPr>
            <w:tcW w:w="1431" w:type="dxa"/>
            <w:tcBorders>
              <w:top w:val="single" w:sz="6" w:space="0" w:color="auto"/>
            </w:tcBorders>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9,89</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Молдова</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5,93</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63</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5,43</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92</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-8,43</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Швейцарія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5,78</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71</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5,15</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102</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-10,90</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Польща</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4,74</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119</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4,50</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130</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-5,06</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Канада</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5,00</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110</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5,14</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103</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2,80</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Ізраїль</w:t>
            </w:r>
          </w:p>
        </w:tc>
        <w:tc>
          <w:tcPr>
            <w:tcW w:w="2640" w:type="dxa"/>
            <w:gridSpan w:val="2"/>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Немає даних</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4,25</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137</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w:t>
            </w:r>
          </w:p>
        </w:tc>
      </w:tr>
      <w:tr w:rsidR="00FE4648" w:rsidRPr="00525FC7" w:rsidTr="00525FC7">
        <w:trPr>
          <w:trHeight w:val="315"/>
        </w:trPr>
        <w:tc>
          <w:tcPr>
            <w:tcW w:w="2640" w:type="dxa"/>
            <w:shd w:val="clear" w:color="auto" w:fill="auto"/>
            <w:noWrap/>
            <w:vAlign w:val="center"/>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Швеція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3,50</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141</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4,25</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138</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21,43</w:t>
            </w:r>
          </w:p>
        </w:tc>
      </w:tr>
      <w:tr w:rsidR="00FE4648" w:rsidRPr="00525FC7" w:rsidTr="00525FC7">
        <w:trPr>
          <w:trHeight w:val="315"/>
        </w:trPr>
        <w:tc>
          <w:tcPr>
            <w:tcW w:w="2640" w:type="dxa"/>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Нова Зеландія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3,82</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139</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3,91</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142</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2,36</w:t>
            </w:r>
          </w:p>
        </w:tc>
      </w:tr>
      <w:tr w:rsidR="00FE4648" w:rsidRPr="00525FC7" w:rsidTr="00525FC7">
        <w:trPr>
          <w:trHeight w:val="315"/>
        </w:trPr>
        <w:tc>
          <w:tcPr>
            <w:tcW w:w="2640" w:type="dxa"/>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Болгарія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4,24</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131</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3,87</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143</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-8,73</w:t>
            </w:r>
          </w:p>
        </w:tc>
      </w:tr>
      <w:tr w:rsidR="00FE4648" w:rsidRPr="00525FC7" w:rsidTr="00525FC7">
        <w:trPr>
          <w:trHeight w:val="315"/>
        </w:trPr>
        <w:tc>
          <w:tcPr>
            <w:tcW w:w="2640" w:type="dxa"/>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Естонія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3,28</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143</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3,83</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144</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16,77</w:t>
            </w:r>
          </w:p>
        </w:tc>
      </w:tr>
      <w:tr w:rsidR="00FE4648" w:rsidRPr="00525FC7" w:rsidTr="00525FC7">
        <w:trPr>
          <w:trHeight w:val="315"/>
        </w:trPr>
        <w:tc>
          <w:tcPr>
            <w:tcW w:w="2640" w:type="dxa"/>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Литва</w:t>
            </w:r>
          </w:p>
        </w:tc>
        <w:tc>
          <w:tcPr>
            <w:tcW w:w="2640" w:type="dxa"/>
            <w:gridSpan w:val="2"/>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Немає даних</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3,67</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145</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eastAsia="ru-RU"/>
              </w:rPr>
            </w:pPr>
            <w:r w:rsidRPr="00525FC7">
              <w:rPr>
                <w:rFonts w:ascii="Times New Roman" w:eastAsia="Times New Roman" w:hAnsi="Times New Roman" w:cs="Times New Roman"/>
                <w:color w:val="000000"/>
                <w:sz w:val="24"/>
                <w:szCs w:val="24"/>
                <w:lang w:val="uk-UA" w:eastAsia="ru-RU"/>
              </w:rPr>
              <w:t>–</w:t>
            </w:r>
          </w:p>
        </w:tc>
      </w:tr>
      <w:tr w:rsidR="00FE4648" w:rsidRPr="00525FC7" w:rsidTr="00525FC7">
        <w:trPr>
          <w:trHeight w:val="315"/>
        </w:trPr>
        <w:tc>
          <w:tcPr>
            <w:tcW w:w="2640" w:type="dxa"/>
            <w:shd w:val="clear" w:color="auto" w:fill="auto"/>
            <w:noWrap/>
            <w:vAlign w:val="center"/>
            <w:hideMark/>
          </w:tcPr>
          <w:p w:rsidR="00FE4648" w:rsidRPr="001B4029" w:rsidRDefault="00525FC7" w:rsidP="004577CE">
            <w:pPr>
              <w:widowControl w:val="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Фінляндія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3,59</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140</w:t>
            </w:r>
          </w:p>
        </w:tc>
        <w:tc>
          <w:tcPr>
            <w:tcW w:w="1320" w:type="dxa"/>
            <w:shd w:val="clear" w:color="auto" w:fill="auto"/>
            <w:noWrap/>
            <w:vAlign w:val="bottom"/>
            <w:hideMark/>
          </w:tcPr>
          <w:p w:rsidR="00FE4648" w:rsidRPr="001B4029" w:rsidRDefault="00FE4648" w:rsidP="004577CE">
            <w:pPr>
              <w:widowControl w:val="0"/>
              <w:rPr>
                <w:rFonts w:ascii="Times New Roman" w:eastAsia="Times New Roman" w:hAnsi="Times New Roman" w:cs="Times New Roman"/>
                <w:color w:val="000000"/>
                <w:sz w:val="24"/>
                <w:szCs w:val="24"/>
                <w:lang w:val="uk-UA" w:eastAsia="ru-RU"/>
              </w:rPr>
            </w:pPr>
            <w:r w:rsidRPr="001B4029">
              <w:rPr>
                <w:rFonts w:ascii="Times New Roman" w:eastAsia="Times New Roman" w:hAnsi="Times New Roman" w:cs="Times New Roman"/>
                <w:color w:val="000000"/>
                <w:sz w:val="24"/>
                <w:szCs w:val="24"/>
                <w:lang w:eastAsia="ru-RU"/>
              </w:rPr>
              <w:t>3,04</w:t>
            </w:r>
            <w:r w:rsidRPr="00525FC7">
              <w:rPr>
                <w:rFonts w:ascii="Times New Roman" w:eastAsia="Times New Roman" w:hAnsi="Times New Roman" w:cs="Times New Roman"/>
                <w:color w:val="000000"/>
                <w:sz w:val="24"/>
                <w:szCs w:val="24"/>
                <w:lang w:val="uk-UA" w:eastAsia="ru-RU"/>
              </w:rPr>
              <w:t xml:space="preserve"> (</w:t>
            </w:r>
            <w:r w:rsidRPr="00525FC7">
              <w:rPr>
                <w:rFonts w:ascii="Times New Roman" w:eastAsia="Times New Roman" w:hAnsi="Times New Roman" w:cs="Times New Roman"/>
                <w:color w:val="000000"/>
                <w:sz w:val="24"/>
                <w:szCs w:val="24"/>
                <w:lang w:val="en-US" w:eastAsia="ru-RU"/>
              </w:rPr>
              <w:t>min</w:t>
            </w:r>
            <w:r w:rsidRPr="00525FC7">
              <w:rPr>
                <w:rFonts w:ascii="Times New Roman" w:eastAsia="Times New Roman" w:hAnsi="Times New Roman" w:cs="Times New Roman"/>
                <w:color w:val="000000"/>
                <w:sz w:val="24"/>
                <w:szCs w:val="24"/>
                <w:lang w:val="uk-UA" w:eastAsia="ru-RU"/>
              </w:rPr>
              <w:t>)</w:t>
            </w:r>
          </w:p>
        </w:tc>
        <w:tc>
          <w:tcPr>
            <w:tcW w:w="1320" w:type="dxa"/>
            <w:shd w:val="clear" w:color="auto" w:fill="auto"/>
            <w:noWrap/>
            <w:vAlign w:val="bottom"/>
            <w:hideMark/>
          </w:tcPr>
          <w:p w:rsidR="00FE4648" w:rsidRPr="001B4029" w:rsidRDefault="00FE4648" w:rsidP="004577CE">
            <w:pPr>
              <w:widowControl w:val="0"/>
              <w:jc w:val="center"/>
              <w:rPr>
                <w:rFonts w:ascii="Times New Roman" w:eastAsia="Times New Roman" w:hAnsi="Times New Roman" w:cs="Times New Roman"/>
                <w:color w:val="000000"/>
                <w:sz w:val="24"/>
                <w:szCs w:val="24"/>
                <w:lang w:eastAsia="ru-RU"/>
              </w:rPr>
            </w:pPr>
            <w:r w:rsidRPr="001B4029">
              <w:rPr>
                <w:rFonts w:ascii="Times New Roman" w:eastAsia="Times New Roman" w:hAnsi="Times New Roman" w:cs="Times New Roman"/>
                <w:color w:val="000000"/>
                <w:sz w:val="24"/>
                <w:szCs w:val="24"/>
                <w:lang w:eastAsia="ru-RU"/>
              </w:rPr>
              <w:t>146</w:t>
            </w:r>
          </w:p>
        </w:tc>
        <w:tc>
          <w:tcPr>
            <w:tcW w:w="1431" w:type="dxa"/>
            <w:vAlign w:val="bottom"/>
          </w:tcPr>
          <w:p w:rsidR="00FE4648" w:rsidRPr="00525FC7" w:rsidRDefault="00FE4648" w:rsidP="004577CE">
            <w:pPr>
              <w:widowControl w:val="0"/>
              <w:jc w:val="center"/>
              <w:rPr>
                <w:rFonts w:ascii="Times New Roman" w:hAnsi="Times New Roman" w:cs="Times New Roman"/>
                <w:sz w:val="24"/>
                <w:szCs w:val="24"/>
              </w:rPr>
            </w:pPr>
            <w:r w:rsidRPr="00525FC7">
              <w:rPr>
                <w:rFonts w:ascii="Times New Roman" w:hAnsi="Times New Roman" w:cs="Times New Roman"/>
                <w:sz w:val="24"/>
                <w:szCs w:val="24"/>
              </w:rPr>
              <w:t>-15,32</w:t>
            </w:r>
          </w:p>
        </w:tc>
      </w:tr>
      <w:tr w:rsidR="00FE4648" w:rsidRPr="00525FC7" w:rsidTr="00525FC7">
        <w:trPr>
          <w:trHeight w:val="315"/>
        </w:trPr>
        <w:tc>
          <w:tcPr>
            <w:tcW w:w="2640" w:type="dxa"/>
            <w:shd w:val="clear" w:color="auto" w:fill="auto"/>
            <w:noWrap/>
            <w:vAlign w:val="center"/>
          </w:tcPr>
          <w:p w:rsidR="00FE4648" w:rsidRPr="00525FC7" w:rsidRDefault="00FE4648" w:rsidP="004577CE">
            <w:pPr>
              <w:widowControl w:val="0"/>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Норвегія</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2,36</w:t>
            </w:r>
          </w:p>
        </w:tc>
        <w:tc>
          <w:tcPr>
            <w:tcW w:w="1320"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144 (</w:t>
            </w:r>
            <w:r w:rsidRPr="00525FC7">
              <w:rPr>
                <w:rFonts w:ascii="Times New Roman" w:eastAsia="Times New Roman" w:hAnsi="Times New Roman" w:cs="Times New Roman"/>
                <w:color w:val="000000"/>
                <w:sz w:val="24"/>
                <w:szCs w:val="24"/>
                <w:lang w:val="en-US" w:eastAsia="ru-RU"/>
              </w:rPr>
              <w:t>min</w:t>
            </w:r>
            <w:r w:rsidRPr="00525FC7">
              <w:rPr>
                <w:rFonts w:ascii="Times New Roman" w:eastAsia="Times New Roman" w:hAnsi="Times New Roman" w:cs="Times New Roman"/>
                <w:color w:val="000000"/>
                <w:sz w:val="24"/>
                <w:szCs w:val="24"/>
                <w:lang w:val="uk-UA" w:eastAsia="ru-RU"/>
              </w:rPr>
              <w:t>)</w:t>
            </w:r>
          </w:p>
        </w:tc>
        <w:tc>
          <w:tcPr>
            <w:tcW w:w="2640" w:type="dxa"/>
            <w:gridSpan w:val="2"/>
            <w:shd w:val="clear" w:color="auto" w:fill="auto"/>
            <w:noWrap/>
            <w:vAlign w:val="bottom"/>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Немає даних</w:t>
            </w:r>
          </w:p>
        </w:tc>
        <w:tc>
          <w:tcPr>
            <w:tcW w:w="1431" w:type="dxa"/>
          </w:tcPr>
          <w:p w:rsidR="00FE4648" w:rsidRPr="00525FC7" w:rsidRDefault="00FE4648" w:rsidP="004577CE">
            <w:pPr>
              <w:widowControl w:val="0"/>
              <w:jc w:val="center"/>
              <w:rPr>
                <w:rFonts w:ascii="Times New Roman" w:eastAsia="Times New Roman" w:hAnsi="Times New Roman" w:cs="Times New Roman"/>
                <w:color w:val="000000"/>
                <w:sz w:val="24"/>
                <w:szCs w:val="24"/>
                <w:lang w:val="uk-UA" w:eastAsia="ru-RU"/>
              </w:rPr>
            </w:pPr>
            <w:r w:rsidRPr="00525FC7">
              <w:rPr>
                <w:rFonts w:ascii="Times New Roman" w:eastAsia="Times New Roman" w:hAnsi="Times New Roman" w:cs="Times New Roman"/>
                <w:color w:val="000000"/>
                <w:sz w:val="24"/>
                <w:szCs w:val="24"/>
                <w:lang w:val="uk-UA" w:eastAsia="ru-RU"/>
              </w:rPr>
              <w:t>–</w:t>
            </w:r>
          </w:p>
        </w:tc>
      </w:tr>
    </w:tbl>
    <w:p w:rsidR="009867FF" w:rsidRDefault="009867FF" w:rsidP="004577CE">
      <w:pPr>
        <w:widowControl w:val="0"/>
        <w:spacing w:line="360" w:lineRule="auto"/>
        <w:ind w:firstLine="709"/>
        <w:jc w:val="center"/>
        <w:rPr>
          <w:rFonts w:ascii="Times New Roman" w:hAnsi="Times New Roman" w:cs="Times New Roman"/>
          <w:lang w:val="uk-UA"/>
        </w:rPr>
      </w:pPr>
    </w:p>
    <w:p w:rsidR="001622E8" w:rsidRPr="001622E8" w:rsidRDefault="001622E8"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Дані табл. 5 показують, що Україна у 2017 році посідає 52 місце серед 146 країн, представлених у рейтингу Базельського індексу протидії відмиванню грошей</w:t>
      </w:r>
      <w:r w:rsidR="00DA6CB5">
        <w:rPr>
          <w:rFonts w:ascii="Times New Roman" w:hAnsi="Times New Roman" w:cs="Times New Roman"/>
          <w:lang w:val="uk-UA"/>
        </w:rPr>
        <w:t>. До країн з найменш сприятливими умовами для легалізації злочинних доходів у 2017 р. віднесено</w:t>
      </w:r>
      <w:r w:rsidR="001B4029">
        <w:rPr>
          <w:rFonts w:ascii="Times New Roman" w:hAnsi="Times New Roman" w:cs="Times New Roman"/>
          <w:lang w:val="uk-UA"/>
        </w:rPr>
        <w:t>, індекс яких не перевищує відмітки 4,0.</w:t>
      </w:r>
      <w:r w:rsidR="00DA6CB5">
        <w:rPr>
          <w:rFonts w:ascii="Times New Roman" w:hAnsi="Times New Roman" w:cs="Times New Roman"/>
          <w:lang w:val="uk-UA"/>
        </w:rPr>
        <w:t xml:space="preserve"> </w:t>
      </w:r>
    </w:p>
    <w:p w:rsidR="009867FF" w:rsidRDefault="003A34A4"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Інформацію щодо факторів географічного ризику відмивання злочинних </w:t>
      </w:r>
      <w:r>
        <w:rPr>
          <w:rFonts w:ascii="Times New Roman" w:hAnsi="Times New Roman" w:cs="Times New Roman"/>
          <w:lang w:val="uk-UA"/>
        </w:rPr>
        <w:lastRenderedPageBreak/>
        <w:t xml:space="preserve">доходів </w:t>
      </w:r>
      <w:r w:rsidR="00C52A8A">
        <w:rPr>
          <w:rFonts w:ascii="Times New Roman" w:hAnsi="Times New Roman" w:cs="Times New Roman"/>
          <w:lang w:val="uk-UA"/>
        </w:rPr>
        <w:t xml:space="preserve">можна </w:t>
      </w:r>
      <w:r>
        <w:rPr>
          <w:rFonts w:ascii="Times New Roman" w:hAnsi="Times New Roman" w:cs="Times New Roman"/>
          <w:lang w:val="uk-UA"/>
        </w:rPr>
        <w:t xml:space="preserve">і слід </w:t>
      </w:r>
      <w:r w:rsidR="00C52A8A">
        <w:rPr>
          <w:rFonts w:ascii="Times New Roman" w:hAnsi="Times New Roman" w:cs="Times New Roman"/>
          <w:lang w:val="uk-UA"/>
        </w:rPr>
        <w:t xml:space="preserve">використовувати </w:t>
      </w:r>
      <w:r>
        <w:rPr>
          <w:rFonts w:ascii="Times New Roman" w:hAnsi="Times New Roman" w:cs="Times New Roman"/>
          <w:lang w:val="uk-UA"/>
        </w:rPr>
        <w:t xml:space="preserve">при здійснені банком операцій клієнтів. По-перше, </w:t>
      </w:r>
      <w:r w:rsidR="0076594F">
        <w:rPr>
          <w:rFonts w:ascii="Times New Roman" w:hAnsi="Times New Roman" w:cs="Times New Roman"/>
          <w:lang w:val="uk-UA"/>
        </w:rPr>
        <w:t xml:space="preserve">на законодавчому рівні можна закріпити перелік країн, які мають критичний (найвищий) рівень </w:t>
      </w:r>
      <w:r w:rsidR="002D6102">
        <w:rPr>
          <w:rFonts w:ascii="Times New Roman" w:hAnsi="Times New Roman" w:cs="Times New Roman"/>
          <w:lang w:val="uk-UA"/>
        </w:rPr>
        <w:t xml:space="preserve">географічного </w:t>
      </w:r>
      <w:r w:rsidR="0076594F">
        <w:rPr>
          <w:rFonts w:ascii="Times New Roman" w:hAnsi="Times New Roman" w:cs="Times New Roman"/>
          <w:lang w:val="uk-UA"/>
        </w:rPr>
        <w:t xml:space="preserve">ризику </w:t>
      </w:r>
      <w:r w:rsidR="002D6102">
        <w:rPr>
          <w:rFonts w:ascii="Times New Roman" w:hAnsi="Times New Roman" w:cs="Times New Roman"/>
          <w:lang w:val="uk-UA"/>
        </w:rPr>
        <w:t>щодо відмивання коштів</w:t>
      </w:r>
      <w:r w:rsidR="0076594F">
        <w:rPr>
          <w:rFonts w:ascii="Times New Roman" w:hAnsi="Times New Roman" w:cs="Times New Roman"/>
          <w:lang w:val="uk-UA"/>
        </w:rPr>
        <w:t xml:space="preserve"> </w:t>
      </w:r>
      <w:r w:rsidR="002D6102">
        <w:rPr>
          <w:rFonts w:ascii="Times New Roman" w:hAnsi="Times New Roman" w:cs="Times New Roman"/>
          <w:lang w:val="uk-UA"/>
        </w:rPr>
        <w:t>та заборонити на певний час здійснення будь-яких банківських транзакцій з ними або завжди привласнювати операції високий ступінь ризику та ініціювати її поглиблений аналіз. Так, якщо скористатись даними 2017 року щодо Базельського індексу протидії відмивання грошей (табл. 5), то такими країнами можуть бути: Іран (значення індексу 8,6)</w:t>
      </w:r>
      <w:r w:rsidR="00552F87">
        <w:rPr>
          <w:rFonts w:ascii="Times New Roman" w:hAnsi="Times New Roman" w:cs="Times New Roman"/>
          <w:lang w:val="uk-UA"/>
        </w:rPr>
        <w:t>, Афганістан (8,38), Гвінея-Біс</w:t>
      </w:r>
      <w:r w:rsidR="002D6102">
        <w:rPr>
          <w:rFonts w:ascii="Times New Roman" w:hAnsi="Times New Roman" w:cs="Times New Roman"/>
          <w:lang w:val="uk-UA"/>
        </w:rPr>
        <w:t xml:space="preserve">ау (8,35), Таджикистан (8,28), Лаос (2,28), Мозамбік (8,08), Малі (7,07), а також Уганда, Камбоджі, Танзанія, Кенія, Ліберія, М’янма, Непал, </w:t>
      </w:r>
      <w:proofErr w:type="spellStart"/>
      <w:r w:rsidR="002D6102">
        <w:rPr>
          <w:rFonts w:ascii="Times New Roman" w:hAnsi="Times New Roman" w:cs="Times New Roman"/>
          <w:lang w:val="uk-UA"/>
        </w:rPr>
        <w:t>Буркіна</w:t>
      </w:r>
      <w:proofErr w:type="spellEnd"/>
      <w:r w:rsidR="002D6102">
        <w:rPr>
          <w:rFonts w:ascii="Times New Roman" w:hAnsi="Times New Roman" w:cs="Times New Roman"/>
          <w:lang w:val="uk-UA"/>
        </w:rPr>
        <w:t xml:space="preserve"> </w:t>
      </w:r>
      <w:proofErr w:type="spellStart"/>
      <w:r w:rsidR="002D6102">
        <w:rPr>
          <w:rFonts w:ascii="Times New Roman" w:hAnsi="Times New Roman" w:cs="Times New Roman"/>
          <w:lang w:val="uk-UA"/>
        </w:rPr>
        <w:t>Фасо</w:t>
      </w:r>
      <w:proofErr w:type="spellEnd"/>
      <w:r w:rsidR="002D6102">
        <w:rPr>
          <w:rFonts w:ascii="Times New Roman" w:hAnsi="Times New Roman" w:cs="Times New Roman"/>
          <w:lang w:val="uk-UA"/>
        </w:rPr>
        <w:t>, Парагв</w:t>
      </w:r>
      <w:r w:rsidR="001622E8">
        <w:rPr>
          <w:rFonts w:ascii="Times New Roman" w:hAnsi="Times New Roman" w:cs="Times New Roman"/>
          <w:lang w:val="uk-UA"/>
        </w:rPr>
        <w:t xml:space="preserve">ай та Гаїті, </w:t>
      </w:r>
      <w:r w:rsidR="002D6102">
        <w:rPr>
          <w:rFonts w:ascii="Times New Roman" w:hAnsi="Times New Roman" w:cs="Times New Roman"/>
          <w:lang w:val="uk-UA"/>
        </w:rPr>
        <w:t xml:space="preserve">індекс </w:t>
      </w:r>
      <w:r w:rsidR="001622E8">
        <w:rPr>
          <w:rFonts w:ascii="Times New Roman" w:hAnsi="Times New Roman" w:cs="Times New Roman"/>
          <w:lang w:val="uk-UA"/>
        </w:rPr>
        <w:t xml:space="preserve">протидії відмивання коштів </w:t>
      </w:r>
      <w:r w:rsidR="002D6102">
        <w:rPr>
          <w:rFonts w:ascii="Times New Roman" w:hAnsi="Times New Roman" w:cs="Times New Roman"/>
          <w:lang w:val="uk-UA"/>
        </w:rPr>
        <w:t>яких перевищує 7,5.</w:t>
      </w:r>
      <w:r w:rsidR="001622E8">
        <w:rPr>
          <w:rFonts w:ascii="Times New Roman" w:hAnsi="Times New Roman" w:cs="Times New Roman"/>
          <w:lang w:val="uk-UA"/>
        </w:rPr>
        <w:t xml:space="preserve"> Такий жорст</w:t>
      </w:r>
      <w:r w:rsidR="008734D6">
        <w:rPr>
          <w:rFonts w:ascii="Times New Roman" w:hAnsi="Times New Roman" w:cs="Times New Roman"/>
          <w:lang w:val="uk-UA"/>
        </w:rPr>
        <w:t>кий підхід пропонується оскільки</w:t>
      </w:r>
      <w:r w:rsidR="001622E8">
        <w:rPr>
          <w:rFonts w:ascii="Times New Roman" w:hAnsi="Times New Roman" w:cs="Times New Roman"/>
          <w:lang w:val="uk-UA"/>
        </w:rPr>
        <w:t>, щ</w:t>
      </w:r>
      <w:r w:rsidR="008734D6">
        <w:rPr>
          <w:rFonts w:ascii="Times New Roman" w:hAnsi="Times New Roman" w:cs="Times New Roman"/>
          <w:lang w:val="uk-UA"/>
        </w:rPr>
        <w:t>е</w:t>
      </w:r>
      <w:r w:rsidR="001622E8">
        <w:rPr>
          <w:rFonts w:ascii="Times New Roman" w:hAnsi="Times New Roman" w:cs="Times New Roman"/>
          <w:lang w:val="uk-UA"/>
        </w:rPr>
        <w:t xml:space="preserve"> у Звіті 2012 року ФАТФ зазначено, що «о</w:t>
      </w:r>
      <w:r w:rsidR="001622E8" w:rsidRPr="001622E8">
        <w:rPr>
          <w:rFonts w:ascii="Times New Roman" w:hAnsi="Times New Roman" w:cs="Times New Roman"/>
          <w:lang w:val="uk-UA"/>
        </w:rPr>
        <w:t>дна третина з усіх банків, включених у контрольну групу, були готові йти на дуже високий ризик ймовірності відмивання грошей за умови невеликого ризику безпосередньо для їх репутації, наприклад, якщо майно нібито корумпованого діяча здавал</w:t>
      </w:r>
      <w:r w:rsidR="008734D6">
        <w:rPr>
          <w:rFonts w:ascii="Times New Roman" w:hAnsi="Times New Roman" w:cs="Times New Roman"/>
          <w:lang w:val="uk-UA"/>
        </w:rPr>
        <w:t>ося цілком надійним і безпечним».</w:t>
      </w:r>
      <w:r w:rsidR="00444F37">
        <w:rPr>
          <w:rStyle w:val="aa"/>
          <w:rFonts w:ascii="Times New Roman" w:hAnsi="Times New Roman" w:cs="Times New Roman"/>
          <w:lang w:val="uk-UA"/>
        </w:rPr>
        <w:footnoteReference w:id="12"/>
      </w:r>
      <w:r w:rsidR="008A2990">
        <w:rPr>
          <w:rFonts w:ascii="Times New Roman" w:hAnsi="Times New Roman" w:cs="Times New Roman"/>
          <w:lang w:val="uk-UA"/>
        </w:rPr>
        <w:t xml:space="preserve"> Отже, щоб скоротити час на ухвалення рішення щодо операції, доцільно, ґрунтуючись на рейтингах згідно з відповідними індексами, запровадити розширений перелік країн, з якими операції просто заборонені. </w:t>
      </w:r>
    </w:p>
    <w:p w:rsidR="001622E8" w:rsidRDefault="001622E8"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Другим напрямком визначення та аналізу факторів легалізації злочинних доходів є клієнтські фактори, тобто характеристики клієнта, що можуть вказувати на здійснення ним такої протиправної діяльності. </w:t>
      </w:r>
      <w:r w:rsidR="00F84C8A">
        <w:rPr>
          <w:rFonts w:ascii="Times New Roman" w:hAnsi="Times New Roman" w:cs="Times New Roman"/>
          <w:lang w:val="uk-UA"/>
        </w:rPr>
        <w:t xml:space="preserve">Звіти та </w:t>
      </w:r>
      <w:r w:rsidR="00C97592">
        <w:rPr>
          <w:rFonts w:ascii="Times New Roman" w:hAnsi="Times New Roman" w:cs="Times New Roman"/>
          <w:lang w:val="uk-UA"/>
        </w:rPr>
        <w:t>Рекомендації ФАТФ</w:t>
      </w:r>
      <w:r w:rsidR="005B402A">
        <w:rPr>
          <w:rFonts w:ascii="Times New Roman" w:hAnsi="Times New Roman" w:cs="Times New Roman"/>
          <w:lang w:val="uk-UA"/>
        </w:rPr>
        <w:t xml:space="preserve"> </w:t>
      </w:r>
      <w:r w:rsidR="00F84C8A">
        <w:rPr>
          <w:rFonts w:ascii="Times New Roman" w:hAnsi="Times New Roman" w:cs="Times New Roman"/>
          <w:lang w:val="uk-UA"/>
        </w:rPr>
        <w:t>виокремлюють такі основні фактори:</w:t>
      </w:r>
      <w:r w:rsidR="00B55F15">
        <w:rPr>
          <w:rFonts w:ascii="Times New Roman" w:hAnsi="Times New Roman" w:cs="Times New Roman"/>
          <w:lang w:val="uk-UA"/>
        </w:rPr>
        <w:t xml:space="preserve"> в</w:t>
      </w:r>
      <w:r w:rsidR="00B55F15" w:rsidRPr="00B55F15">
        <w:rPr>
          <w:rFonts w:ascii="Times New Roman" w:hAnsi="Times New Roman" w:cs="Times New Roman"/>
          <w:lang w:val="uk-UA"/>
        </w:rPr>
        <w:t>ид діяльності для юридичної особи та сфера основної зайнятості фізичної</w:t>
      </w:r>
      <w:r w:rsidR="00B55F15">
        <w:rPr>
          <w:rFonts w:ascii="Times New Roman" w:hAnsi="Times New Roman" w:cs="Times New Roman"/>
          <w:lang w:val="uk-UA"/>
        </w:rPr>
        <w:t xml:space="preserve">; </w:t>
      </w:r>
      <w:r w:rsidR="00B55F15" w:rsidRPr="00537513">
        <w:rPr>
          <w:rFonts w:ascii="Times New Roman" w:hAnsi="Times New Roman" w:cs="Times New Roman"/>
          <w:lang w:val="uk-UA"/>
        </w:rPr>
        <w:t>мета відкриття рахунків</w:t>
      </w:r>
      <w:r w:rsidR="00B55F15">
        <w:rPr>
          <w:rFonts w:ascii="Times New Roman" w:hAnsi="Times New Roman" w:cs="Times New Roman"/>
          <w:lang w:val="uk-UA"/>
        </w:rPr>
        <w:t xml:space="preserve">; </w:t>
      </w:r>
      <w:r w:rsidR="00B55F15" w:rsidRPr="00537513">
        <w:rPr>
          <w:rFonts w:ascii="Times New Roman" w:hAnsi="Times New Roman" w:cs="Times New Roman"/>
          <w:lang w:val="uk-UA"/>
        </w:rPr>
        <w:t>бенефіціарні власники юридичної особи</w:t>
      </w:r>
      <w:r w:rsidR="00B55F15">
        <w:rPr>
          <w:rFonts w:ascii="Times New Roman" w:hAnsi="Times New Roman" w:cs="Times New Roman"/>
          <w:lang w:val="uk-UA"/>
        </w:rPr>
        <w:t>.</w:t>
      </w:r>
    </w:p>
    <w:p w:rsidR="00B55F15" w:rsidRDefault="00B55F15" w:rsidP="004577CE">
      <w:pPr>
        <w:widowControl w:val="0"/>
        <w:tabs>
          <w:tab w:val="left" w:pos="993"/>
        </w:tabs>
        <w:spacing w:line="360" w:lineRule="auto"/>
        <w:ind w:firstLine="709"/>
        <w:jc w:val="both"/>
        <w:rPr>
          <w:rFonts w:ascii="Times New Roman" w:hAnsi="Times New Roman" w:cs="Times New Roman"/>
          <w:lang w:val="uk-UA"/>
        </w:rPr>
      </w:pPr>
      <w:r w:rsidRPr="005A65FB">
        <w:rPr>
          <w:rFonts w:ascii="Times New Roman" w:hAnsi="Times New Roman" w:cs="Times New Roman"/>
          <w:lang w:val="uk-UA"/>
        </w:rPr>
        <w:t xml:space="preserve">Щодо виду діяльності юридичних осіб, то у сфері підвищеного ризику клієнти банків, що функціонують у сфері приватизації майна, державних закупівель, масштабних інфраструктурних проектів, добування корисних копалин, охорони здоров’я, здійснення допомоги з метою розвитку, а також діяльність у секторі безпеки, оборони та військових операцій. Щодо фізичних осіб, то особлива </w:t>
      </w:r>
      <w:r w:rsidRPr="005A65FB">
        <w:rPr>
          <w:rFonts w:ascii="Times New Roman" w:hAnsi="Times New Roman" w:cs="Times New Roman"/>
          <w:lang w:val="uk-UA"/>
        </w:rPr>
        <w:lastRenderedPageBreak/>
        <w:t>увага має бути приділена операціям, що здійснюються публічними та політичними діячами, у тому числі іноземних держав та чиновника</w:t>
      </w:r>
      <w:r w:rsidR="008A38AA">
        <w:rPr>
          <w:rFonts w:ascii="Times New Roman" w:hAnsi="Times New Roman" w:cs="Times New Roman"/>
          <w:lang w:val="uk-UA"/>
        </w:rPr>
        <w:t xml:space="preserve">ми, а також близькими родичами </w:t>
      </w:r>
      <w:r w:rsidRPr="005A65FB">
        <w:rPr>
          <w:rFonts w:ascii="Times New Roman" w:hAnsi="Times New Roman" w:cs="Times New Roman"/>
          <w:lang w:val="uk-UA"/>
        </w:rPr>
        <w:t>таких осіб. ФАТФ рекомендує</w:t>
      </w:r>
      <w:r w:rsidR="00602C4A">
        <w:rPr>
          <w:rStyle w:val="aa"/>
          <w:rFonts w:ascii="Times New Roman" w:hAnsi="Times New Roman" w:cs="Times New Roman"/>
          <w:lang w:val="uk-UA"/>
        </w:rPr>
        <w:footnoteReference w:id="13"/>
      </w:r>
      <w:r w:rsidRPr="005A65FB">
        <w:rPr>
          <w:rFonts w:ascii="Times New Roman" w:hAnsi="Times New Roman" w:cs="Times New Roman"/>
          <w:lang w:val="uk-UA"/>
        </w:rPr>
        <w:t xml:space="preserve"> операції зазначених клієнтів кваліфікувати як такі, що мають високий рівень ризику, спрямовувати їх на поглиблений аналіз та обов’язково повідомляти відповідні органи (для України це Державна служба фінансового моніторингу).</w:t>
      </w:r>
    </w:p>
    <w:p w:rsidR="00836F00" w:rsidRPr="005A65FB" w:rsidRDefault="00836F00" w:rsidP="004577CE">
      <w:pPr>
        <w:widowControl w:val="0"/>
        <w:tabs>
          <w:tab w:val="left" w:pos="993"/>
        </w:tabs>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На жаль, Україна має всесвітньо відомий факт і приклад зловживання владою та здійснення на цій основі відмивання коштів на найвищому рівні влади: справа прем’єр-міністра П. І. Лазаренко щодо вивезення капіталу з України набула всесвітнього розголосу, виявлені схеми відмивання ним коштів слугують прикладом у Звіті ФАТФ 2012 року </w:t>
      </w:r>
      <w:r w:rsidRPr="005A65FB">
        <w:rPr>
          <w:rFonts w:ascii="Times New Roman" w:hAnsi="Times New Roman" w:cs="Times New Roman"/>
          <w:lang w:val="uk-UA"/>
        </w:rPr>
        <w:t>[</w:t>
      </w:r>
      <w:r>
        <w:rPr>
          <w:rFonts w:ascii="Times New Roman" w:hAnsi="Times New Roman" w:cs="Times New Roman"/>
          <w:lang w:val="uk-UA"/>
        </w:rPr>
        <w:fldChar w:fldCharType="begin"/>
      </w:r>
      <w:r>
        <w:rPr>
          <w:rFonts w:ascii="Times New Roman" w:hAnsi="Times New Roman" w:cs="Times New Roman"/>
          <w:lang w:val="uk-UA"/>
        </w:rPr>
        <w:instrText xml:space="preserve"> REF _Ref503799445 \r \h </w:instrText>
      </w:r>
      <w:r>
        <w:rPr>
          <w:rFonts w:ascii="Times New Roman" w:hAnsi="Times New Roman" w:cs="Times New Roman"/>
          <w:lang w:val="uk-UA"/>
        </w:rPr>
      </w:r>
      <w:r>
        <w:rPr>
          <w:rFonts w:ascii="Times New Roman" w:hAnsi="Times New Roman" w:cs="Times New Roman"/>
          <w:lang w:val="uk-UA"/>
        </w:rPr>
        <w:fldChar w:fldCharType="separate"/>
      </w:r>
      <w:r>
        <w:rPr>
          <w:rFonts w:ascii="Times New Roman" w:hAnsi="Times New Roman" w:cs="Times New Roman"/>
          <w:lang w:val="uk-UA"/>
        </w:rPr>
        <w:t>1</w:t>
      </w:r>
      <w:r>
        <w:rPr>
          <w:rFonts w:ascii="Times New Roman" w:hAnsi="Times New Roman" w:cs="Times New Roman"/>
          <w:lang w:val="uk-UA"/>
        </w:rPr>
        <w:fldChar w:fldCharType="end"/>
      </w:r>
      <w:r w:rsidRPr="005A65FB">
        <w:rPr>
          <w:rFonts w:ascii="Times New Roman" w:hAnsi="Times New Roman" w:cs="Times New Roman"/>
          <w:lang w:val="uk-UA"/>
        </w:rPr>
        <w:t xml:space="preserve">, </w:t>
      </w:r>
      <w:r>
        <w:rPr>
          <w:rFonts w:ascii="Times New Roman" w:hAnsi="Times New Roman" w:cs="Times New Roman"/>
          <w:lang w:val="en-US"/>
        </w:rPr>
        <w:t>c</w:t>
      </w:r>
      <w:r>
        <w:rPr>
          <w:rFonts w:ascii="Times New Roman" w:hAnsi="Times New Roman" w:cs="Times New Roman"/>
          <w:lang w:val="uk-UA"/>
        </w:rPr>
        <w:t>. 10</w:t>
      </w:r>
      <w:r w:rsidR="00D358C2">
        <w:rPr>
          <w:rFonts w:ascii="Times New Roman" w:hAnsi="Times New Roman" w:cs="Times New Roman"/>
          <w:lang w:val="uk-UA"/>
        </w:rPr>
        <w:t>].</w:t>
      </w:r>
      <w:r w:rsidR="00F47EDE">
        <w:rPr>
          <w:rFonts w:ascii="Times New Roman" w:hAnsi="Times New Roman" w:cs="Times New Roman"/>
          <w:lang w:val="uk-UA"/>
        </w:rPr>
        <w:t xml:space="preserve"> П. І. </w:t>
      </w:r>
      <w:r w:rsidR="00F47EDE" w:rsidRPr="00F47EDE">
        <w:rPr>
          <w:rFonts w:ascii="Times New Roman" w:hAnsi="Times New Roman" w:cs="Times New Roman"/>
          <w:lang w:val="uk-UA"/>
        </w:rPr>
        <w:t xml:space="preserve">Лазаренко </w:t>
      </w:r>
      <w:r w:rsidR="00F47EDE">
        <w:rPr>
          <w:rFonts w:ascii="Times New Roman" w:hAnsi="Times New Roman" w:cs="Times New Roman"/>
          <w:lang w:val="uk-UA"/>
        </w:rPr>
        <w:t xml:space="preserve">обіймаючи посаду прем’єр міністра України упродовж 14 місяців (з травня 1996 року по липень 1997 року) </w:t>
      </w:r>
      <w:r w:rsidR="00F47EDE" w:rsidRPr="00F47EDE">
        <w:rPr>
          <w:rFonts w:ascii="Times New Roman" w:hAnsi="Times New Roman" w:cs="Times New Roman"/>
          <w:lang w:val="uk-UA"/>
        </w:rPr>
        <w:t xml:space="preserve">викрав </w:t>
      </w:r>
      <w:r w:rsidR="00F47EDE">
        <w:rPr>
          <w:rFonts w:ascii="Times New Roman" w:hAnsi="Times New Roman" w:cs="Times New Roman"/>
          <w:lang w:val="uk-UA"/>
        </w:rPr>
        <w:t>з</w:t>
      </w:r>
      <w:r w:rsidR="00F47EDE" w:rsidRPr="00F47EDE">
        <w:rPr>
          <w:rFonts w:ascii="Times New Roman" w:hAnsi="Times New Roman" w:cs="Times New Roman"/>
          <w:lang w:val="uk-UA"/>
        </w:rPr>
        <w:t xml:space="preserve">а оцінкою </w:t>
      </w:r>
      <w:r w:rsidR="00F47EDE">
        <w:rPr>
          <w:rFonts w:ascii="Times New Roman" w:hAnsi="Times New Roman" w:cs="Times New Roman"/>
          <w:lang w:val="uk-UA"/>
        </w:rPr>
        <w:t xml:space="preserve">експертів ООН і Світового банку </w:t>
      </w:r>
      <w:r w:rsidR="00F47EDE" w:rsidRPr="00F47EDE">
        <w:rPr>
          <w:rFonts w:ascii="Times New Roman" w:hAnsi="Times New Roman" w:cs="Times New Roman"/>
          <w:lang w:val="uk-UA"/>
        </w:rPr>
        <w:t>близько 200 м</w:t>
      </w:r>
      <w:r w:rsidR="00F47EDE">
        <w:rPr>
          <w:rFonts w:ascii="Times New Roman" w:hAnsi="Times New Roman" w:cs="Times New Roman"/>
          <w:lang w:val="uk-UA"/>
        </w:rPr>
        <w:t>лн., а за оцінкою українських експертів 320 млн.</w:t>
      </w:r>
      <w:r w:rsidR="00F47EDE" w:rsidRPr="00F47EDE">
        <w:rPr>
          <w:rFonts w:ascii="Times New Roman" w:hAnsi="Times New Roman" w:cs="Times New Roman"/>
          <w:lang w:val="uk-UA"/>
        </w:rPr>
        <w:t xml:space="preserve"> доларів </w:t>
      </w:r>
      <w:r w:rsidR="00F47EDE">
        <w:rPr>
          <w:rFonts w:ascii="Times New Roman" w:hAnsi="Times New Roman" w:cs="Times New Roman"/>
          <w:lang w:val="uk-UA"/>
        </w:rPr>
        <w:t>США, незаконно переказав їх до Сполучених Штатів. Федеральний суд штату Каліфорнія визнав П. І. Лазаренка винним,  проте</w:t>
      </w:r>
      <w:r w:rsidR="00F47EDE" w:rsidRPr="00F47EDE">
        <w:rPr>
          <w:rFonts w:ascii="Times New Roman" w:hAnsi="Times New Roman" w:cs="Times New Roman"/>
          <w:lang w:val="uk-UA"/>
        </w:rPr>
        <w:t xml:space="preserve"> </w:t>
      </w:r>
      <w:r w:rsidR="00F47EDE">
        <w:rPr>
          <w:rFonts w:ascii="Times New Roman" w:hAnsi="Times New Roman" w:cs="Times New Roman"/>
          <w:lang w:val="uk-UA"/>
        </w:rPr>
        <w:t>було доведено</w:t>
      </w:r>
      <w:r w:rsidR="00F47EDE" w:rsidRPr="00F47EDE">
        <w:rPr>
          <w:rFonts w:ascii="Times New Roman" w:hAnsi="Times New Roman" w:cs="Times New Roman"/>
          <w:lang w:val="uk-UA"/>
        </w:rPr>
        <w:t xml:space="preserve"> </w:t>
      </w:r>
      <w:r w:rsidR="00F47EDE">
        <w:rPr>
          <w:rFonts w:ascii="Times New Roman" w:hAnsi="Times New Roman" w:cs="Times New Roman"/>
          <w:lang w:val="uk-UA"/>
        </w:rPr>
        <w:t>викрадення суми</w:t>
      </w:r>
      <w:r w:rsidR="00F47EDE" w:rsidRPr="00F47EDE">
        <w:rPr>
          <w:rFonts w:ascii="Times New Roman" w:hAnsi="Times New Roman" w:cs="Times New Roman"/>
          <w:lang w:val="uk-UA"/>
        </w:rPr>
        <w:t xml:space="preserve"> 114 м</w:t>
      </w:r>
      <w:r w:rsidR="00F47EDE">
        <w:rPr>
          <w:rFonts w:ascii="Times New Roman" w:hAnsi="Times New Roman" w:cs="Times New Roman"/>
          <w:lang w:val="uk-UA"/>
        </w:rPr>
        <w:t>лн.</w:t>
      </w:r>
      <w:r w:rsidR="00F47EDE" w:rsidRPr="00F47EDE">
        <w:rPr>
          <w:rFonts w:ascii="Times New Roman" w:hAnsi="Times New Roman" w:cs="Times New Roman"/>
          <w:lang w:val="uk-UA"/>
        </w:rPr>
        <w:t xml:space="preserve"> доларів, які влада США </w:t>
      </w:r>
      <w:r w:rsidR="00F47EDE">
        <w:rPr>
          <w:rFonts w:ascii="Times New Roman" w:hAnsi="Times New Roman" w:cs="Times New Roman"/>
          <w:lang w:val="uk-UA"/>
        </w:rPr>
        <w:t>змогла повернути до України.</w:t>
      </w:r>
    </w:p>
    <w:p w:rsidR="00705915" w:rsidRDefault="005A65FB" w:rsidP="004577CE">
      <w:pPr>
        <w:widowControl w:val="0"/>
        <w:spacing w:line="360" w:lineRule="auto"/>
        <w:ind w:firstLine="708"/>
        <w:jc w:val="both"/>
        <w:rPr>
          <w:rFonts w:ascii="Times New Roman" w:hAnsi="Times New Roman" w:cs="Times New Roman"/>
          <w:lang w:val="uk-UA"/>
        </w:rPr>
      </w:pPr>
      <w:r>
        <w:rPr>
          <w:rFonts w:ascii="Times New Roman" w:hAnsi="Times New Roman" w:cs="Times New Roman"/>
          <w:lang w:val="uk-UA"/>
        </w:rPr>
        <w:t>Високий ризик мають операції юридичних осіб у складі власників яких є політичні діячі, чиновники (хоча у більшості країн це суворо заборонено), близькі родичі зазначених категорій клієнтів, або їх довірені особи (представники інтересів, компанії-розпорядники статків, родичі, що є резидентами інших країни). Осіб, що кінець-кінцем насправді володіють та керують підприємством прийнято називати бенефіціарними власниками юридичної особи. Ознаками таких юридичних осіб ФАТФ</w:t>
      </w:r>
      <w:r w:rsidR="00602C4A">
        <w:rPr>
          <w:rStyle w:val="aa"/>
          <w:rFonts w:ascii="Times New Roman" w:hAnsi="Times New Roman" w:cs="Times New Roman"/>
          <w:lang w:val="uk-UA"/>
        </w:rPr>
        <w:footnoteReference w:id="14"/>
      </w:r>
      <w:r w:rsidRPr="005A65FB">
        <w:rPr>
          <w:rFonts w:ascii="Times New Roman" w:hAnsi="Times New Roman" w:cs="Times New Roman"/>
          <w:lang w:val="uk-UA"/>
        </w:rPr>
        <w:t xml:space="preserve"> </w:t>
      </w:r>
      <w:r>
        <w:rPr>
          <w:rFonts w:ascii="Times New Roman" w:hAnsi="Times New Roman" w:cs="Times New Roman"/>
          <w:lang w:val="uk-UA"/>
        </w:rPr>
        <w:t xml:space="preserve">визначив: </w:t>
      </w:r>
    </w:p>
    <w:p w:rsidR="00705915" w:rsidRDefault="005A65FB" w:rsidP="004577CE">
      <w:pPr>
        <w:widowControl w:val="0"/>
        <w:spacing w:line="360" w:lineRule="auto"/>
        <w:ind w:firstLine="708"/>
        <w:jc w:val="both"/>
        <w:rPr>
          <w:rFonts w:ascii="Times New Roman" w:hAnsi="Times New Roman" w:cs="Times New Roman"/>
          <w:lang w:val="uk-UA"/>
        </w:rPr>
      </w:pPr>
      <w:r>
        <w:rPr>
          <w:rFonts w:ascii="Times New Roman" w:hAnsi="Times New Roman" w:cs="Times New Roman"/>
          <w:lang w:val="uk-UA"/>
        </w:rPr>
        <w:t>корпоративні підприємства з багаторівневою, заплутаною або необґрунтовано складною організаційною структурою, наприклад, підприємства, право володіння та управління якими належить іншим підприємствам, особливо, якщо власник зареєстрований у іншій країні</w:t>
      </w:r>
      <w:r w:rsidR="00705915">
        <w:rPr>
          <w:rFonts w:ascii="Times New Roman" w:hAnsi="Times New Roman" w:cs="Times New Roman"/>
          <w:lang w:val="uk-UA"/>
        </w:rPr>
        <w:t>;</w:t>
      </w:r>
    </w:p>
    <w:p w:rsidR="00705915" w:rsidRDefault="00705915" w:rsidP="004577CE">
      <w:pPr>
        <w:widowControl w:val="0"/>
        <w:spacing w:line="360" w:lineRule="auto"/>
        <w:ind w:firstLine="708"/>
        <w:jc w:val="both"/>
        <w:rPr>
          <w:rFonts w:ascii="Times New Roman" w:hAnsi="Times New Roman" w:cs="Times New Roman"/>
          <w:lang w:val="uk-UA"/>
        </w:rPr>
      </w:pPr>
      <w:r>
        <w:rPr>
          <w:rFonts w:ascii="Times New Roman" w:hAnsi="Times New Roman" w:cs="Times New Roman"/>
          <w:lang w:val="uk-UA"/>
        </w:rPr>
        <w:lastRenderedPageBreak/>
        <w:t>наявність істотної участі у володінні осіб, що згідно з чинним законодавством не зобов’язані застосовувати заходи щодо ПВК/ФТ;</w:t>
      </w:r>
    </w:p>
    <w:p w:rsidR="00705915" w:rsidRDefault="00705915" w:rsidP="004577CE">
      <w:pPr>
        <w:widowControl w:val="0"/>
        <w:spacing w:line="360" w:lineRule="auto"/>
        <w:ind w:firstLine="708"/>
        <w:jc w:val="both"/>
        <w:rPr>
          <w:rFonts w:ascii="Times New Roman" w:hAnsi="Times New Roman" w:cs="Times New Roman"/>
          <w:lang w:val="uk-UA"/>
        </w:rPr>
      </w:pPr>
      <w:r>
        <w:rPr>
          <w:rFonts w:ascii="Times New Roman" w:hAnsi="Times New Roman" w:cs="Times New Roman"/>
          <w:lang w:val="uk-UA"/>
        </w:rPr>
        <w:t>участь підставних осіб, які мають зв’язок з клієнтами підвищеного ризику (кримінальні особи, урядовці, політичні діячі).</w:t>
      </w:r>
    </w:p>
    <w:p w:rsidR="00B55F15" w:rsidRPr="00231479" w:rsidRDefault="005A65FB" w:rsidP="004577CE">
      <w:pPr>
        <w:widowControl w:val="0"/>
        <w:spacing w:line="360" w:lineRule="auto"/>
        <w:ind w:firstLine="708"/>
        <w:jc w:val="both"/>
        <w:rPr>
          <w:rFonts w:ascii="Times New Roman" w:hAnsi="Times New Roman" w:cs="Times New Roman"/>
          <w:lang w:val="uk-UA"/>
        </w:rPr>
      </w:pPr>
      <w:r w:rsidRPr="005A65FB">
        <w:rPr>
          <w:rFonts w:ascii="Times New Roman" w:hAnsi="Times New Roman" w:cs="Times New Roman"/>
          <w:lang w:val="uk-UA"/>
        </w:rPr>
        <w:t>Б</w:t>
      </w:r>
      <w:r>
        <w:rPr>
          <w:rFonts w:ascii="Times New Roman" w:hAnsi="Times New Roman" w:cs="Times New Roman"/>
          <w:lang w:val="uk-UA"/>
        </w:rPr>
        <w:t>енефіціарні власники обов’язково мають бути встановлені, а операції таких клієнтів банків мають підлягати поглибленому аналізу.</w:t>
      </w:r>
    </w:p>
    <w:p w:rsidR="00F84C8A" w:rsidRDefault="005A65FB"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Мета відкриття рахунків (або їх </w:t>
      </w:r>
      <w:r w:rsidR="00D358C2">
        <w:rPr>
          <w:rFonts w:ascii="Times New Roman" w:hAnsi="Times New Roman" w:cs="Times New Roman"/>
          <w:lang w:val="uk-UA"/>
        </w:rPr>
        <w:t xml:space="preserve">функціональне призначення) публічних та політичних діячів, чиновників </w:t>
      </w:r>
      <w:r w:rsidR="001B34B5">
        <w:rPr>
          <w:rFonts w:ascii="Times New Roman" w:hAnsi="Times New Roman" w:cs="Times New Roman"/>
          <w:lang w:val="uk-UA"/>
        </w:rPr>
        <w:t xml:space="preserve">та осіб, що з ними пов’язані має важливе значення у разі відкриття рахунків за межами </w:t>
      </w:r>
      <w:proofErr w:type="spellStart"/>
      <w:r w:rsidR="001B34B5">
        <w:rPr>
          <w:rFonts w:ascii="Times New Roman" w:hAnsi="Times New Roman" w:cs="Times New Roman"/>
          <w:lang w:val="uk-UA"/>
        </w:rPr>
        <w:t>резидентості</w:t>
      </w:r>
      <w:proofErr w:type="spellEnd"/>
      <w:r w:rsidR="001B34B5">
        <w:rPr>
          <w:rFonts w:ascii="Times New Roman" w:hAnsi="Times New Roman" w:cs="Times New Roman"/>
          <w:lang w:val="uk-UA"/>
        </w:rPr>
        <w:t xml:space="preserve"> (юрисдикції)</w:t>
      </w:r>
      <w:r w:rsidR="00F47EDE">
        <w:rPr>
          <w:rFonts w:ascii="Times New Roman" w:hAnsi="Times New Roman" w:cs="Times New Roman"/>
          <w:lang w:val="uk-UA"/>
        </w:rPr>
        <w:t xml:space="preserve"> країни</w:t>
      </w:r>
      <w:r w:rsidR="001B34B5">
        <w:rPr>
          <w:rFonts w:ascii="Times New Roman" w:hAnsi="Times New Roman" w:cs="Times New Roman"/>
          <w:lang w:val="uk-UA"/>
        </w:rPr>
        <w:t>. У зв’язку із цим 10</w:t>
      </w:r>
      <w:r w:rsidR="001B34B5" w:rsidRPr="001B34B5">
        <w:rPr>
          <w:rFonts w:ascii="Times New Roman" w:hAnsi="Times New Roman" w:cs="Times New Roman"/>
        </w:rPr>
        <w:t>-</w:t>
      </w:r>
      <w:r w:rsidR="001B34B5">
        <w:rPr>
          <w:rFonts w:ascii="Times New Roman" w:hAnsi="Times New Roman" w:cs="Times New Roman"/>
          <w:lang w:val="uk-UA"/>
        </w:rPr>
        <w:t>ті</w:t>
      </w:r>
      <w:r w:rsidR="001B34B5" w:rsidRPr="001B34B5">
        <w:rPr>
          <w:rFonts w:ascii="Times New Roman" w:hAnsi="Times New Roman" w:cs="Times New Roman"/>
        </w:rPr>
        <w:t xml:space="preserve"> </w:t>
      </w:r>
      <w:r w:rsidR="001B34B5">
        <w:rPr>
          <w:rFonts w:ascii="Times New Roman" w:hAnsi="Times New Roman" w:cs="Times New Roman"/>
          <w:lang w:val="uk-UA"/>
        </w:rPr>
        <w:t>Рекомендації ФАТФ</w:t>
      </w:r>
      <w:r w:rsidR="00602C4A">
        <w:rPr>
          <w:rStyle w:val="aa"/>
          <w:rFonts w:ascii="Times New Roman" w:hAnsi="Times New Roman" w:cs="Times New Roman"/>
          <w:lang w:val="uk-UA"/>
        </w:rPr>
        <w:footnoteReference w:id="15"/>
      </w:r>
      <w:r w:rsidR="001B34B5">
        <w:rPr>
          <w:rFonts w:ascii="Times New Roman" w:hAnsi="Times New Roman" w:cs="Times New Roman"/>
          <w:lang w:val="uk-UA"/>
        </w:rPr>
        <w:t xml:space="preserve"> наполягають на тому, щоб банки не відкривали рахунки зазначеним клієнтам без наявності законної підстави та </w:t>
      </w:r>
      <w:r w:rsidR="00F47EDE">
        <w:rPr>
          <w:rFonts w:ascii="Times New Roman" w:hAnsi="Times New Roman" w:cs="Times New Roman"/>
          <w:lang w:val="uk-UA"/>
        </w:rPr>
        <w:t xml:space="preserve">належного </w:t>
      </w:r>
      <w:r w:rsidR="001B34B5">
        <w:rPr>
          <w:rFonts w:ascii="Times New Roman" w:hAnsi="Times New Roman" w:cs="Times New Roman"/>
          <w:lang w:val="uk-UA"/>
        </w:rPr>
        <w:t>пояснення їх призначення. Валютне законодавство України, зокрема  забороняє відкриття рахунків за межами України без отримання індивідуальної ліцензії НБУ.</w:t>
      </w:r>
    </w:p>
    <w:p w:rsidR="001B34B5" w:rsidRDefault="001B34B5"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Третьою групою факторів легалізації злочинних доходів, що зазначена у документах ФАТФ</w:t>
      </w:r>
      <w:r w:rsidR="00602C4A">
        <w:rPr>
          <w:rStyle w:val="aa"/>
          <w:rFonts w:ascii="Times New Roman" w:hAnsi="Times New Roman" w:cs="Times New Roman"/>
          <w:lang w:val="uk-UA"/>
        </w:rPr>
        <w:footnoteReference w:id="16"/>
      </w:r>
      <w:r w:rsidR="005A0A72">
        <w:rPr>
          <w:rFonts w:ascii="Times New Roman" w:hAnsi="Times New Roman" w:cs="Times New Roman"/>
          <w:lang w:val="uk-UA"/>
        </w:rPr>
        <w:t>,</w:t>
      </w:r>
      <w:r>
        <w:rPr>
          <w:rFonts w:ascii="Times New Roman" w:hAnsi="Times New Roman" w:cs="Times New Roman"/>
          <w:lang w:val="uk-UA"/>
        </w:rPr>
        <w:t xml:space="preserve"> є сукупність факторів, пов’язаних безпосередньо з </w:t>
      </w:r>
      <w:r w:rsidR="008E73BC">
        <w:rPr>
          <w:rFonts w:ascii="Times New Roman" w:hAnsi="Times New Roman" w:cs="Times New Roman"/>
          <w:lang w:val="uk-UA"/>
        </w:rPr>
        <w:t>операціями банків та</w:t>
      </w:r>
      <w:r w:rsidR="005A0A72">
        <w:rPr>
          <w:rFonts w:ascii="Times New Roman" w:hAnsi="Times New Roman" w:cs="Times New Roman"/>
          <w:lang w:val="uk-UA"/>
        </w:rPr>
        <w:t xml:space="preserve"> використовуваними фінансовими інструментами.</w:t>
      </w:r>
      <w:r w:rsidR="00425E11">
        <w:rPr>
          <w:rFonts w:ascii="Times New Roman" w:hAnsi="Times New Roman" w:cs="Times New Roman"/>
          <w:lang w:val="uk-UA"/>
        </w:rPr>
        <w:t xml:space="preserve"> Особливої уваги потребують </w:t>
      </w:r>
      <w:r w:rsidRPr="00537513">
        <w:rPr>
          <w:rFonts w:ascii="Times New Roman" w:hAnsi="Times New Roman" w:cs="Times New Roman"/>
          <w:lang w:val="uk-UA"/>
        </w:rPr>
        <w:t>анонімні операції</w:t>
      </w:r>
      <w:r w:rsidR="00425E11">
        <w:rPr>
          <w:rFonts w:ascii="Times New Roman" w:hAnsi="Times New Roman" w:cs="Times New Roman"/>
          <w:lang w:val="uk-UA"/>
        </w:rPr>
        <w:t xml:space="preserve"> (в Україні заборонені законодавством); </w:t>
      </w:r>
      <w:r w:rsidRPr="00537513">
        <w:rPr>
          <w:rFonts w:ascii="Times New Roman" w:hAnsi="Times New Roman" w:cs="Times New Roman"/>
          <w:lang w:val="uk-UA"/>
        </w:rPr>
        <w:t>операції з готівкою</w:t>
      </w:r>
      <w:r w:rsidR="00425E11">
        <w:rPr>
          <w:rFonts w:ascii="Times New Roman" w:hAnsi="Times New Roman" w:cs="Times New Roman"/>
          <w:lang w:val="uk-UA"/>
        </w:rPr>
        <w:t xml:space="preserve"> та</w:t>
      </w:r>
      <w:r w:rsidR="004E40C8">
        <w:rPr>
          <w:rFonts w:ascii="Times New Roman" w:hAnsi="Times New Roman" w:cs="Times New Roman"/>
          <w:lang w:val="uk-UA"/>
        </w:rPr>
        <w:t xml:space="preserve"> банківські електронні перекази, а також операцій з криптовалютами, оскільки вони поєднують ознаки анонімності, </w:t>
      </w:r>
      <w:proofErr w:type="spellStart"/>
      <w:r w:rsidR="004E40C8">
        <w:rPr>
          <w:rFonts w:ascii="Times New Roman" w:hAnsi="Times New Roman" w:cs="Times New Roman"/>
          <w:lang w:val="uk-UA"/>
        </w:rPr>
        <w:t>неконтрольованості</w:t>
      </w:r>
      <w:proofErr w:type="spellEnd"/>
      <w:r w:rsidR="004E40C8">
        <w:rPr>
          <w:rFonts w:ascii="Times New Roman" w:hAnsi="Times New Roman" w:cs="Times New Roman"/>
          <w:lang w:val="uk-UA"/>
        </w:rPr>
        <w:t>, високої швидкості переміщення цінностей.</w:t>
      </w:r>
    </w:p>
    <w:p w:rsidR="00425E11" w:rsidRDefault="00425E11"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Показниками, що можуть відображати наявність та суттєвість впливу продуктових факторів на процеси протидії відмиванню коштів, можуть бути:</w:t>
      </w:r>
    </w:p>
    <w:p w:rsidR="00425E11" w:rsidRDefault="00425E11"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обсяги грошової маси в готівковій формі;</w:t>
      </w:r>
    </w:p>
    <w:p w:rsidR="00425E11" w:rsidRDefault="00425E11"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питома вага готівкової грошової маси у ВВП;</w:t>
      </w:r>
    </w:p>
    <w:p w:rsidR="00425E11" w:rsidRPr="00DA510B" w:rsidRDefault="00425E11" w:rsidP="004577CE">
      <w:pPr>
        <w:widowControl w:val="0"/>
        <w:spacing w:line="360" w:lineRule="auto"/>
        <w:ind w:firstLine="709"/>
        <w:jc w:val="both"/>
        <w:rPr>
          <w:rFonts w:ascii="Times New Roman" w:hAnsi="Times New Roman" w:cs="Times New Roman"/>
          <w:spacing w:val="-6"/>
          <w:lang w:val="uk-UA"/>
        </w:rPr>
      </w:pPr>
      <w:r w:rsidRPr="00DA510B">
        <w:rPr>
          <w:rFonts w:ascii="Times New Roman" w:hAnsi="Times New Roman" w:cs="Times New Roman"/>
          <w:spacing w:val="-6"/>
          <w:lang w:val="uk-UA"/>
        </w:rPr>
        <w:t>частка готівкової грошової маси у загальному обсязі грошей всередині країни;</w:t>
      </w:r>
    </w:p>
    <w:p w:rsidR="00425E11" w:rsidRDefault="00425E11"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обсяги готівкових банківських транзакцій;</w:t>
      </w:r>
    </w:p>
    <w:p w:rsidR="00425E11" w:rsidRDefault="00425E11" w:rsidP="004577CE">
      <w:pPr>
        <w:widowControl w:val="0"/>
        <w:spacing w:line="360" w:lineRule="auto"/>
        <w:ind w:firstLine="709"/>
        <w:jc w:val="both"/>
        <w:rPr>
          <w:rFonts w:ascii="Times New Roman" w:hAnsi="Times New Roman" w:cs="Times New Roman"/>
          <w:spacing w:val="-4"/>
          <w:lang w:val="uk-UA"/>
        </w:rPr>
      </w:pPr>
      <w:r w:rsidRPr="00425E11">
        <w:rPr>
          <w:rFonts w:ascii="Times New Roman" w:hAnsi="Times New Roman" w:cs="Times New Roman"/>
          <w:spacing w:val="-4"/>
          <w:lang w:val="uk-UA"/>
        </w:rPr>
        <w:t>частка готівкових банківських транзакцій</w:t>
      </w:r>
      <w:r w:rsidR="004E40C8">
        <w:rPr>
          <w:rFonts w:ascii="Times New Roman" w:hAnsi="Times New Roman" w:cs="Times New Roman"/>
          <w:spacing w:val="-4"/>
          <w:lang w:val="uk-UA"/>
        </w:rPr>
        <w:t xml:space="preserve"> у загальному обсязі транзакцій;</w:t>
      </w:r>
    </w:p>
    <w:p w:rsidR="004E40C8" w:rsidRPr="004E40C8" w:rsidRDefault="004E40C8" w:rsidP="004577CE">
      <w:pPr>
        <w:widowControl w:val="0"/>
        <w:spacing w:line="360" w:lineRule="auto"/>
        <w:ind w:firstLine="709"/>
        <w:jc w:val="both"/>
        <w:rPr>
          <w:rFonts w:ascii="Times New Roman" w:hAnsi="Times New Roman" w:cs="Times New Roman"/>
          <w:spacing w:val="-4"/>
          <w:lang w:val="uk-UA"/>
        </w:rPr>
      </w:pPr>
      <w:r w:rsidRPr="004E40C8">
        <w:rPr>
          <w:rFonts w:ascii="Times New Roman" w:hAnsi="Times New Roman" w:cs="Times New Roman"/>
          <w:lang w:val="uk-UA"/>
        </w:rPr>
        <w:t>задекларовані громадянами залишки коштів у гаманцях криптовалют.</w:t>
      </w:r>
    </w:p>
    <w:p w:rsidR="00D30E8E" w:rsidRDefault="00D30E8E" w:rsidP="004577CE">
      <w:pPr>
        <w:widowControl w:val="0"/>
        <w:spacing w:line="360" w:lineRule="auto"/>
        <w:ind w:firstLine="709"/>
        <w:jc w:val="right"/>
        <w:rPr>
          <w:rFonts w:ascii="Times New Roman" w:hAnsi="Times New Roman" w:cs="Times New Roman"/>
          <w:lang w:val="uk-UA"/>
        </w:rPr>
      </w:pPr>
      <w:r>
        <w:rPr>
          <w:rFonts w:ascii="Times New Roman" w:hAnsi="Times New Roman" w:cs="Times New Roman"/>
          <w:lang w:val="uk-UA"/>
        </w:rPr>
        <w:lastRenderedPageBreak/>
        <w:t>Таблиця 6</w:t>
      </w:r>
    </w:p>
    <w:p w:rsidR="00F65C54" w:rsidRPr="00A00A5C" w:rsidRDefault="00D30E8E" w:rsidP="004577CE">
      <w:pPr>
        <w:widowControl w:val="0"/>
        <w:spacing w:line="360" w:lineRule="auto"/>
        <w:jc w:val="center"/>
        <w:rPr>
          <w:rFonts w:ascii="Times New Roman" w:hAnsi="Times New Roman" w:cs="Times New Roman"/>
        </w:rPr>
      </w:pPr>
      <w:r>
        <w:rPr>
          <w:rFonts w:ascii="Times New Roman" w:hAnsi="Times New Roman" w:cs="Times New Roman"/>
          <w:lang w:val="uk-UA"/>
        </w:rPr>
        <w:t>Показники, що характеризують обіг готівки в Україні</w:t>
      </w:r>
      <w:r w:rsidR="00A00A5C" w:rsidRPr="00A00A5C">
        <w:rPr>
          <w:rFonts w:ascii="Times New Roman" w:hAnsi="Times New Roman" w:cs="Times New Roman"/>
        </w:rPr>
        <w:t>*</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2"/>
        <w:gridCol w:w="1566"/>
        <w:gridCol w:w="1319"/>
        <w:gridCol w:w="1319"/>
        <w:gridCol w:w="1512"/>
        <w:gridCol w:w="1571"/>
        <w:gridCol w:w="1608"/>
      </w:tblGrid>
      <w:tr w:rsidR="00D12C32" w:rsidRPr="00D30E8E" w:rsidTr="00A00A5C">
        <w:trPr>
          <w:trHeight w:val="255"/>
        </w:trPr>
        <w:tc>
          <w:tcPr>
            <w:tcW w:w="1072" w:type="dxa"/>
            <w:shd w:val="clear" w:color="auto" w:fill="auto"/>
            <w:noWrap/>
            <w:vAlign w:val="center"/>
          </w:tcPr>
          <w:p w:rsidR="00D12C32" w:rsidRPr="00D12C32" w:rsidRDefault="00D12C32" w:rsidP="004577CE">
            <w:pPr>
              <w:widowControl w:val="0"/>
              <w:ind w:firstLineChars="100" w:firstLine="240"/>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Рік</w:t>
            </w:r>
          </w:p>
        </w:tc>
        <w:tc>
          <w:tcPr>
            <w:tcW w:w="1566" w:type="dxa"/>
            <w:vAlign w:val="center"/>
          </w:tcPr>
          <w:p w:rsidR="00D12C32" w:rsidRPr="00D12C32" w:rsidRDefault="00D12C32" w:rsidP="004577CE">
            <w:pPr>
              <w:widowControl w:val="0"/>
              <w:ind w:left="110" w:hangingChars="46" w:hanging="11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Готівкові кошти, випущені в обіг,</w:t>
            </w:r>
            <w:r w:rsidR="00DB2757">
              <w:rPr>
                <w:rFonts w:ascii="Times New Roman" w:eastAsia="Times New Roman" w:hAnsi="Times New Roman" w:cs="Times New Roman"/>
                <w:sz w:val="24"/>
                <w:szCs w:val="24"/>
                <w:lang w:val="uk-UA" w:eastAsia="ru-RU"/>
              </w:rPr>
              <w:br/>
            </w:r>
            <w:r w:rsidRPr="00D12C32">
              <w:rPr>
                <w:rFonts w:ascii="Times New Roman" w:eastAsia="Times New Roman" w:hAnsi="Times New Roman" w:cs="Times New Roman"/>
                <w:sz w:val="24"/>
                <w:szCs w:val="24"/>
                <w:lang w:val="uk-UA" w:eastAsia="ru-RU"/>
              </w:rPr>
              <w:t xml:space="preserve"> млн. грн.</w:t>
            </w:r>
          </w:p>
        </w:tc>
        <w:tc>
          <w:tcPr>
            <w:tcW w:w="1319" w:type="dxa"/>
            <w:vAlign w:val="center"/>
          </w:tcPr>
          <w:p w:rsidR="00D12C32" w:rsidRPr="00D12C32" w:rsidRDefault="00D12C32" w:rsidP="004577CE">
            <w:pPr>
              <w:widowControl w:val="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Частка готівкових коштів у грошовій базі, %</w:t>
            </w:r>
          </w:p>
        </w:tc>
        <w:tc>
          <w:tcPr>
            <w:tcW w:w="1319" w:type="dxa"/>
            <w:vAlign w:val="center"/>
          </w:tcPr>
          <w:p w:rsidR="00D12C32" w:rsidRPr="00D12C32" w:rsidRDefault="00D12C32" w:rsidP="004577CE">
            <w:pPr>
              <w:widowControl w:val="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Частка готівкових коштів у ВВП, %</w:t>
            </w:r>
          </w:p>
        </w:tc>
        <w:tc>
          <w:tcPr>
            <w:tcW w:w="1512" w:type="dxa"/>
            <w:shd w:val="clear" w:color="auto" w:fill="auto"/>
            <w:noWrap/>
            <w:vAlign w:val="center"/>
          </w:tcPr>
          <w:p w:rsidR="00D12C32" w:rsidRPr="00D12C32" w:rsidRDefault="00D12C32" w:rsidP="004577CE">
            <w:pPr>
              <w:widowControl w:val="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 xml:space="preserve">Обсяг готівки в банках, </w:t>
            </w:r>
            <w:r w:rsidR="00DB2757">
              <w:rPr>
                <w:rFonts w:ascii="Times New Roman" w:eastAsia="Times New Roman" w:hAnsi="Times New Roman" w:cs="Times New Roman"/>
                <w:sz w:val="24"/>
                <w:szCs w:val="24"/>
                <w:lang w:val="uk-UA" w:eastAsia="ru-RU"/>
              </w:rPr>
              <w:br/>
            </w:r>
            <w:r w:rsidRPr="00D12C32">
              <w:rPr>
                <w:rFonts w:ascii="Times New Roman" w:eastAsia="Times New Roman" w:hAnsi="Times New Roman" w:cs="Times New Roman"/>
                <w:sz w:val="24"/>
                <w:szCs w:val="24"/>
                <w:lang w:val="uk-UA" w:eastAsia="ru-RU"/>
              </w:rPr>
              <w:t>млн. грн.</w:t>
            </w:r>
          </w:p>
        </w:tc>
        <w:tc>
          <w:tcPr>
            <w:tcW w:w="1571" w:type="dxa"/>
            <w:vAlign w:val="center"/>
          </w:tcPr>
          <w:p w:rsidR="00D12C32" w:rsidRPr="00D12C32" w:rsidRDefault="00D12C32" w:rsidP="004577CE">
            <w:pPr>
              <w:widowControl w:val="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Обсяг грошової маси в банках України, млн. грн.</w:t>
            </w:r>
          </w:p>
        </w:tc>
        <w:tc>
          <w:tcPr>
            <w:tcW w:w="1608" w:type="dxa"/>
            <w:vAlign w:val="center"/>
          </w:tcPr>
          <w:p w:rsidR="00D12C32" w:rsidRPr="00D12C32" w:rsidRDefault="00D12C32" w:rsidP="004577CE">
            <w:pPr>
              <w:widowControl w:val="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Частка готівкових операцій банків, в загальному обсязі, %</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2006</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82</w:t>
            </w:r>
            <w:r w:rsidRPr="00D30E8E">
              <w:rPr>
                <w:rFonts w:ascii="Times New Roman" w:eastAsia="Times New Roman" w:hAnsi="Times New Roman" w:cs="Times New Roman"/>
                <w:sz w:val="24"/>
                <w:szCs w:val="24"/>
                <w:lang w:eastAsia="ru-RU"/>
              </w:rPr>
              <w:t>133</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84,49</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15,09</w:t>
            </w:r>
          </w:p>
        </w:tc>
        <w:tc>
          <w:tcPr>
            <w:tcW w:w="1512" w:type="dxa"/>
            <w:shd w:val="clear" w:color="auto" w:fill="auto"/>
            <w:noWrap/>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c>
          <w:tcPr>
            <w:tcW w:w="1571"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c>
          <w:tcPr>
            <w:tcW w:w="1608"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2007</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122</w:t>
            </w:r>
            <w:r w:rsidRPr="00D30E8E">
              <w:rPr>
                <w:rFonts w:ascii="Times New Roman" w:eastAsia="Times New Roman" w:hAnsi="Times New Roman" w:cs="Times New Roman"/>
                <w:sz w:val="24"/>
                <w:szCs w:val="24"/>
                <w:lang w:eastAsia="ru-RU"/>
              </w:rPr>
              <w:t>470</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86,31</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16,99</w:t>
            </w:r>
          </w:p>
        </w:tc>
        <w:tc>
          <w:tcPr>
            <w:tcW w:w="1512" w:type="dxa"/>
            <w:shd w:val="clear" w:color="auto" w:fill="auto"/>
            <w:noWrap/>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c>
          <w:tcPr>
            <w:tcW w:w="1571"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c>
          <w:tcPr>
            <w:tcW w:w="1608"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н/д</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2008</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167</w:t>
            </w:r>
            <w:r w:rsidRPr="00D30E8E">
              <w:rPr>
                <w:rFonts w:ascii="Times New Roman" w:eastAsia="Times New Roman" w:hAnsi="Times New Roman" w:cs="Times New Roman"/>
                <w:sz w:val="24"/>
                <w:szCs w:val="24"/>
                <w:lang w:eastAsia="ru-RU"/>
              </w:rPr>
              <w:t>538</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89,75</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17,67</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154759</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515727</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30,01</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2009</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170</w:t>
            </w:r>
            <w:r w:rsidRPr="00D30E8E">
              <w:rPr>
                <w:rFonts w:ascii="Times New Roman" w:eastAsia="Times New Roman" w:hAnsi="Times New Roman" w:cs="Times New Roman"/>
                <w:sz w:val="24"/>
                <w:szCs w:val="24"/>
                <w:lang w:eastAsia="ru-RU"/>
              </w:rPr>
              <w:t>536</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87,47</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18,67</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157029</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487298</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32,22</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2010</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200</w:t>
            </w:r>
            <w:r w:rsidRPr="00D30E8E">
              <w:rPr>
                <w:rFonts w:ascii="Times New Roman" w:eastAsia="Times New Roman" w:hAnsi="Times New Roman" w:cs="Times New Roman"/>
                <w:sz w:val="24"/>
                <w:szCs w:val="24"/>
                <w:lang w:eastAsia="ru-RU"/>
              </w:rPr>
              <w:t>092</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88,66</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18,54</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182990</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597872</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30,61</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2011</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209</w:t>
            </w:r>
            <w:r w:rsidRPr="00D30E8E">
              <w:rPr>
                <w:rFonts w:ascii="Times New Roman" w:eastAsia="Times New Roman" w:hAnsi="Times New Roman" w:cs="Times New Roman"/>
                <w:sz w:val="24"/>
                <w:szCs w:val="24"/>
                <w:lang w:eastAsia="ru-RU"/>
              </w:rPr>
              <w:t>565</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87,36</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16,12</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192665</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685515</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28,11</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2012</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222</w:t>
            </w:r>
            <w:r w:rsidRPr="00D30E8E">
              <w:rPr>
                <w:rFonts w:ascii="Times New Roman" w:eastAsia="Times New Roman" w:hAnsi="Times New Roman" w:cs="Times New Roman"/>
                <w:sz w:val="24"/>
                <w:szCs w:val="24"/>
                <w:lang w:eastAsia="ru-RU"/>
              </w:rPr>
              <w:t>786</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87,27</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15,86</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203245</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773199</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26,29</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2013</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261</w:t>
            </w:r>
            <w:r w:rsidRPr="00D30E8E">
              <w:rPr>
                <w:rFonts w:ascii="Times New Roman" w:eastAsia="Times New Roman" w:hAnsi="Times New Roman" w:cs="Times New Roman"/>
                <w:sz w:val="24"/>
                <w:szCs w:val="24"/>
                <w:lang w:eastAsia="ru-RU"/>
              </w:rPr>
              <w:t>870</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85,26</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17,87</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237777</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908994</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26,16</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2014</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304</w:t>
            </w:r>
            <w:r w:rsidRPr="00D30E8E">
              <w:rPr>
                <w:rFonts w:ascii="Times New Roman" w:eastAsia="Times New Roman" w:hAnsi="Times New Roman" w:cs="Times New Roman"/>
                <w:sz w:val="24"/>
                <w:szCs w:val="24"/>
                <w:lang w:eastAsia="ru-RU"/>
              </w:rPr>
              <w:t>811</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91,48</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19,21</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282947</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956728</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29,57</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2015</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eastAsia="ru-RU"/>
              </w:rPr>
            </w:pPr>
            <w:r w:rsidRPr="00D12C32">
              <w:rPr>
                <w:rFonts w:ascii="Times New Roman" w:eastAsia="Times New Roman" w:hAnsi="Times New Roman" w:cs="Times New Roman"/>
                <w:sz w:val="24"/>
                <w:szCs w:val="24"/>
                <w:lang w:eastAsia="ru-RU"/>
              </w:rPr>
              <w:t>308</w:t>
            </w:r>
            <w:r w:rsidRPr="00D30E8E">
              <w:rPr>
                <w:rFonts w:ascii="Times New Roman" w:eastAsia="Times New Roman" w:hAnsi="Times New Roman" w:cs="Times New Roman"/>
                <w:sz w:val="24"/>
                <w:szCs w:val="24"/>
                <w:lang w:eastAsia="ru-RU"/>
              </w:rPr>
              <w:t>237</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91,74</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rPr>
              <w:t>15,50</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282673</w:t>
            </w:r>
          </w:p>
        </w:tc>
        <w:tc>
          <w:tcPr>
            <w:tcW w:w="1571"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994062</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lang w:val="uk-UA"/>
              </w:rPr>
              <w:t>28,44</w:t>
            </w:r>
          </w:p>
        </w:tc>
      </w:tr>
      <w:tr w:rsidR="00D12C32" w:rsidRPr="00D30E8E" w:rsidTr="00A00A5C">
        <w:trPr>
          <w:trHeight w:val="255"/>
        </w:trPr>
        <w:tc>
          <w:tcPr>
            <w:tcW w:w="1072" w:type="dxa"/>
            <w:shd w:val="clear" w:color="auto" w:fill="auto"/>
            <w:noWrap/>
            <w:vAlign w:val="bottom"/>
            <w:hideMark/>
          </w:tcPr>
          <w:p w:rsidR="00D12C32" w:rsidRPr="00D30E8E" w:rsidRDefault="00D12C32" w:rsidP="004577CE">
            <w:pPr>
              <w:widowControl w:val="0"/>
              <w:ind w:firstLineChars="100" w:firstLine="240"/>
              <w:rPr>
                <w:rFonts w:ascii="Times New Roman" w:eastAsia="Times New Roman" w:hAnsi="Times New Roman" w:cs="Times New Roman"/>
                <w:sz w:val="24"/>
                <w:szCs w:val="24"/>
                <w:lang w:eastAsia="ru-RU"/>
              </w:rPr>
            </w:pPr>
            <w:r w:rsidRPr="00D30E8E">
              <w:rPr>
                <w:rFonts w:ascii="Times New Roman" w:eastAsia="Times New Roman" w:hAnsi="Times New Roman" w:cs="Times New Roman"/>
                <w:sz w:val="24"/>
                <w:szCs w:val="24"/>
                <w:lang w:eastAsia="ru-RU"/>
              </w:rPr>
              <w:t>2016</w:t>
            </w:r>
          </w:p>
        </w:tc>
        <w:tc>
          <w:tcPr>
            <w:tcW w:w="1566" w:type="dxa"/>
            <w:vAlign w:val="bottom"/>
          </w:tcPr>
          <w:p w:rsidR="00D12C32" w:rsidRPr="00D30E8E" w:rsidRDefault="00D12C32" w:rsidP="004577CE">
            <w:pPr>
              <w:widowControl w:val="0"/>
              <w:ind w:firstLineChars="200" w:firstLine="48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341059</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lang w:val="uk-UA"/>
              </w:rPr>
              <w:t>89,38</w:t>
            </w:r>
          </w:p>
        </w:tc>
        <w:tc>
          <w:tcPr>
            <w:tcW w:w="1319" w:type="dxa"/>
            <w:vAlign w:val="center"/>
          </w:tcPr>
          <w:p w:rsidR="00D12C32" w:rsidRPr="00D12C32" w:rsidRDefault="00D12C32" w:rsidP="004577CE">
            <w:pPr>
              <w:widowControl w:val="0"/>
              <w:ind w:firstLineChars="200" w:firstLine="480"/>
              <w:jc w:val="center"/>
              <w:rPr>
                <w:rFonts w:ascii="Times New Roman" w:hAnsi="Times New Roman" w:cs="Times New Roman"/>
                <w:sz w:val="24"/>
                <w:szCs w:val="24"/>
              </w:rPr>
            </w:pPr>
            <w:r w:rsidRPr="00D12C32">
              <w:rPr>
                <w:rFonts w:ascii="Times New Roman" w:hAnsi="Times New Roman" w:cs="Times New Roman"/>
                <w:sz w:val="24"/>
                <w:szCs w:val="24"/>
                <w:lang w:val="uk-UA"/>
              </w:rPr>
              <w:t>14,31</w:t>
            </w:r>
          </w:p>
        </w:tc>
        <w:tc>
          <w:tcPr>
            <w:tcW w:w="1512" w:type="dxa"/>
            <w:shd w:val="clear" w:color="auto" w:fill="auto"/>
            <w:noWrap/>
            <w:vAlign w:val="bottom"/>
          </w:tcPr>
          <w:p w:rsidR="00D12C32" w:rsidRPr="00D12C32" w:rsidRDefault="00D12C32" w:rsidP="004577CE">
            <w:pPr>
              <w:widowControl w:val="0"/>
              <w:jc w:val="center"/>
              <w:rPr>
                <w:rFonts w:ascii="Times New Roman" w:hAnsi="Times New Roman" w:cs="Times New Roman"/>
                <w:sz w:val="24"/>
                <w:szCs w:val="24"/>
                <w:lang w:val="uk-UA"/>
              </w:rPr>
            </w:pPr>
            <w:r w:rsidRPr="00D12C32">
              <w:rPr>
                <w:rFonts w:ascii="Times New Roman" w:hAnsi="Times New Roman" w:cs="Times New Roman"/>
                <w:sz w:val="24"/>
                <w:szCs w:val="24"/>
                <w:lang w:val="uk-UA"/>
              </w:rPr>
              <w:t>314392</w:t>
            </w:r>
          </w:p>
        </w:tc>
        <w:tc>
          <w:tcPr>
            <w:tcW w:w="1571" w:type="dxa"/>
          </w:tcPr>
          <w:p w:rsidR="00D12C32" w:rsidRPr="00D12C32" w:rsidRDefault="00D12C32" w:rsidP="004577CE">
            <w:pPr>
              <w:widowControl w:val="0"/>
              <w:ind w:firstLineChars="100" w:firstLine="240"/>
              <w:jc w:val="center"/>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1102700</w:t>
            </w:r>
          </w:p>
        </w:tc>
        <w:tc>
          <w:tcPr>
            <w:tcW w:w="1608" w:type="dxa"/>
            <w:vAlign w:val="bottom"/>
          </w:tcPr>
          <w:p w:rsidR="00D12C32" w:rsidRPr="00D12C32" w:rsidRDefault="00D12C32" w:rsidP="004577CE">
            <w:pPr>
              <w:widowControl w:val="0"/>
              <w:jc w:val="center"/>
              <w:rPr>
                <w:rFonts w:ascii="Times New Roman" w:hAnsi="Times New Roman" w:cs="Times New Roman"/>
                <w:sz w:val="24"/>
                <w:szCs w:val="24"/>
              </w:rPr>
            </w:pPr>
            <w:r w:rsidRPr="00D12C32">
              <w:rPr>
                <w:rFonts w:ascii="Times New Roman" w:hAnsi="Times New Roman" w:cs="Times New Roman"/>
                <w:sz w:val="24"/>
                <w:szCs w:val="24"/>
              </w:rPr>
              <w:t>28,51</w:t>
            </w:r>
          </w:p>
        </w:tc>
      </w:tr>
    </w:tbl>
    <w:p w:rsidR="00F65C54" w:rsidRPr="00A00A5C" w:rsidRDefault="00A00A5C" w:rsidP="00A00A5C">
      <w:pPr>
        <w:widowControl w:val="0"/>
        <w:spacing w:line="360" w:lineRule="auto"/>
        <w:rPr>
          <w:rFonts w:ascii="Times New Roman" w:hAnsi="Times New Roman" w:cs="Times New Roman"/>
          <w:lang w:val="uk-UA"/>
        </w:rPr>
      </w:pPr>
      <w:r>
        <w:rPr>
          <w:rFonts w:ascii="Times New Roman" w:hAnsi="Times New Roman" w:cs="Times New Roman"/>
        </w:rPr>
        <w:t xml:space="preserve">* </w:t>
      </w:r>
      <w:r>
        <w:rPr>
          <w:rFonts w:ascii="Times New Roman" w:hAnsi="Times New Roman" w:cs="Times New Roman"/>
          <w:lang w:val="uk-UA"/>
        </w:rPr>
        <w:t>складено автором на основі даних</w:t>
      </w:r>
      <w:r>
        <w:rPr>
          <w:rStyle w:val="aa"/>
          <w:rFonts w:ascii="Times New Roman" w:hAnsi="Times New Roman" w:cs="Times New Roman"/>
          <w:lang w:val="uk-UA"/>
        </w:rPr>
        <w:footnoteReference w:id="17"/>
      </w:r>
      <w:r>
        <w:rPr>
          <w:rFonts w:ascii="Times New Roman" w:hAnsi="Times New Roman" w:cs="Times New Roman"/>
          <w:lang w:val="uk-UA"/>
        </w:rPr>
        <w:t xml:space="preserve"> </w:t>
      </w:r>
      <w:r>
        <w:rPr>
          <w:rStyle w:val="aa"/>
          <w:rFonts w:ascii="Times New Roman" w:hAnsi="Times New Roman" w:cs="Times New Roman"/>
          <w:lang w:val="uk-UA"/>
        </w:rPr>
        <w:footnoteReference w:id="18"/>
      </w:r>
    </w:p>
    <w:p w:rsidR="00D12C32" w:rsidRDefault="00D12C32"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Дані табл.6 показують, що в Україні обсяг готівки в обігу впродовж </w:t>
      </w:r>
      <w:r w:rsidR="00697377">
        <w:rPr>
          <w:rFonts w:ascii="Times New Roman" w:hAnsi="Times New Roman" w:cs="Times New Roman"/>
          <w:lang w:val="uk-UA"/>
        </w:rPr>
        <w:t>2006-2016 років перевищує 84 %, що є надвисоким показником у порівнянні з провідними Європейськими країнами.</w:t>
      </w:r>
      <w:r w:rsidR="008A38AA">
        <w:rPr>
          <w:rFonts w:ascii="Times New Roman" w:hAnsi="Times New Roman" w:cs="Times New Roman"/>
          <w:lang w:val="uk-UA"/>
        </w:rPr>
        <w:t xml:space="preserve"> Шоста частина ВВП перебуває в готівковій формі, а третина операцій банків здійснюється з готівкою або в готівковій формі, що може сприяти як тінізації економіки, так і процесам відмивання злочинних доходів. </w:t>
      </w:r>
    </w:p>
    <w:p w:rsidR="00E52D44" w:rsidRDefault="00E52D44"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Щодо обсягів готівкових операцій поза банківською системою і так званої нелегальної готівки, то за даними в.о. голови НБУ станом на липень 2017 року обсяги її сягали 300 млрд. грн., що становить 87 % від загального обсягу готівки випущеної у обіг.</w:t>
      </w:r>
    </w:p>
    <w:p w:rsidR="008D1B96" w:rsidRDefault="00A92528" w:rsidP="004577CE">
      <w:pPr>
        <w:widowControl w:val="0"/>
        <w:spacing w:line="360" w:lineRule="auto"/>
        <w:ind w:firstLine="709"/>
        <w:jc w:val="both"/>
        <w:rPr>
          <w:rFonts w:ascii="Times New Roman" w:hAnsi="Times New Roman" w:cs="Times New Roman"/>
          <w:lang w:val="uk-UA"/>
        </w:rPr>
      </w:pPr>
      <w:r w:rsidRPr="009B6207">
        <w:rPr>
          <w:rFonts w:ascii="Times New Roman" w:hAnsi="Times New Roman" w:cs="Times New Roman"/>
          <w:b/>
          <w:lang w:val="uk-UA"/>
        </w:rPr>
        <w:t>Висновки.</w:t>
      </w:r>
      <w:r>
        <w:rPr>
          <w:rFonts w:ascii="Times New Roman" w:hAnsi="Times New Roman" w:cs="Times New Roman"/>
          <w:lang w:val="uk-UA"/>
        </w:rPr>
        <w:t xml:space="preserve"> Узагаль</w:t>
      </w:r>
      <w:r w:rsidR="00E52D44">
        <w:rPr>
          <w:rFonts w:ascii="Times New Roman" w:hAnsi="Times New Roman" w:cs="Times New Roman"/>
          <w:lang w:val="uk-UA"/>
        </w:rPr>
        <w:t>нення отриманих</w:t>
      </w:r>
      <w:r>
        <w:rPr>
          <w:rFonts w:ascii="Times New Roman" w:hAnsi="Times New Roman" w:cs="Times New Roman"/>
          <w:lang w:val="uk-UA"/>
        </w:rPr>
        <w:t xml:space="preserve"> результат</w:t>
      </w:r>
      <w:r w:rsidR="00E52D44">
        <w:rPr>
          <w:rFonts w:ascii="Times New Roman" w:hAnsi="Times New Roman" w:cs="Times New Roman"/>
          <w:lang w:val="uk-UA"/>
        </w:rPr>
        <w:t>ів дослідження</w:t>
      </w:r>
      <w:r w:rsidR="00DB2757">
        <w:rPr>
          <w:rFonts w:ascii="Times New Roman" w:hAnsi="Times New Roman" w:cs="Times New Roman"/>
          <w:lang w:val="uk-UA"/>
        </w:rPr>
        <w:t xml:space="preserve"> </w:t>
      </w:r>
      <w:r w:rsidR="00E52D44">
        <w:rPr>
          <w:rFonts w:ascii="Times New Roman" w:hAnsi="Times New Roman" w:cs="Times New Roman"/>
          <w:lang w:val="uk-UA"/>
        </w:rPr>
        <w:t>щодо визначення факторів легалізації злочинних доходів, показників, за допомогою яких ці фактори можна виміряти, оцінити та проаналізувати, подані в табл. 7.</w:t>
      </w:r>
    </w:p>
    <w:p w:rsidR="007662BB" w:rsidRDefault="007662BB" w:rsidP="004577CE">
      <w:pPr>
        <w:widowControl w:val="0"/>
        <w:spacing w:line="360" w:lineRule="auto"/>
        <w:ind w:firstLine="709"/>
        <w:jc w:val="both"/>
        <w:rPr>
          <w:rFonts w:ascii="Times New Roman" w:hAnsi="Times New Roman" w:cs="Times New Roman"/>
          <w:lang w:val="uk-UA"/>
        </w:rPr>
      </w:pPr>
    </w:p>
    <w:p w:rsidR="00A00A5C" w:rsidRDefault="00A00A5C" w:rsidP="004577CE">
      <w:pPr>
        <w:widowControl w:val="0"/>
        <w:spacing w:line="360" w:lineRule="auto"/>
        <w:ind w:firstLine="709"/>
        <w:jc w:val="both"/>
        <w:rPr>
          <w:rFonts w:ascii="Times New Roman" w:hAnsi="Times New Roman" w:cs="Times New Roman"/>
          <w:lang w:val="uk-UA"/>
        </w:rPr>
      </w:pPr>
    </w:p>
    <w:p w:rsidR="004E40C8" w:rsidRPr="004E40C8" w:rsidRDefault="004E40C8" w:rsidP="004577CE">
      <w:pPr>
        <w:widowControl w:val="0"/>
        <w:jc w:val="right"/>
        <w:rPr>
          <w:rFonts w:ascii="Times New Roman" w:hAnsi="Times New Roman" w:cs="Times New Roman"/>
          <w:lang w:val="uk-UA"/>
        </w:rPr>
      </w:pPr>
      <w:r>
        <w:rPr>
          <w:rFonts w:ascii="Times New Roman" w:hAnsi="Times New Roman" w:cs="Times New Roman"/>
          <w:lang w:val="uk-UA"/>
        </w:rPr>
        <w:t>Таблиця 7</w:t>
      </w:r>
    </w:p>
    <w:p w:rsidR="004E40C8" w:rsidRDefault="004E40C8" w:rsidP="004577CE">
      <w:pPr>
        <w:widowControl w:val="0"/>
      </w:pPr>
      <w:r w:rsidRPr="00537513">
        <w:rPr>
          <w:rFonts w:ascii="Times New Roman" w:hAnsi="Times New Roman" w:cs="Times New Roman"/>
          <w:lang w:val="uk-UA"/>
        </w:rPr>
        <w:t>Фактори легалізації злочинних доходів</w:t>
      </w:r>
      <w:r>
        <w:rPr>
          <w:rFonts w:ascii="Times New Roman" w:hAnsi="Times New Roman" w:cs="Times New Roman"/>
          <w:lang w:val="uk-UA"/>
        </w:rPr>
        <w:t xml:space="preserve"> та показники, що їх характеризують</w:t>
      </w:r>
    </w:p>
    <w:tbl>
      <w:tblPr>
        <w:tblStyle w:val="a7"/>
        <w:tblW w:w="0" w:type="auto"/>
        <w:tblCellMar>
          <w:left w:w="28" w:type="dxa"/>
          <w:right w:w="28" w:type="dxa"/>
        </w:tblCellMar>
        <w:tblLook w:val="04A0" w:firstRow="1" w:lastRow="0" w:firstColumn="1" w:lastColumn="0" w:noHBand="0" w:noVBand="1"/>
      </w:tblPr>
      <w:tblGrid>
        <w:gridCol w:w="1242"/>
        <w:gridCol w:w="1232"/>
        <w:gridCol w:w="2359"/>
        <w:gridCol w:w="4660"/>
        <w:gridCol w:w="418"/>
      </w:tblGrid>
      <w:tr w:rsidR="004E40C8" w:rsidTr="00DF25B5">
        <w:tc>
          <w:tcPr>
            <w:tcW w:w="1242" w:type="dxa"/>
            <w:tcBorders>
              <w:bottom w:val="single" w:sz="4" w:space="0" w:color="auto"/>
            </w:tcBorders>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Назва</w:t>
            </w:r>
          </w:p>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групи факторів</w:t>
            </w:r>
          </w:p>
        </w:tc>
        <w:tc>
          <w:tcPr>
            <w:tcW w:w="1232"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Назва</w:t>
            </w:r>
          </w:p>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підгрупи факторів</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Назва фактору</w:t>
            </w:r>
          </w:p>
        </w:tc>
        <w:tc>
          <w:tcPr>
            <w:tcW w:w="5078" w:type="dxa"/>
            <w:gridSpan w:val="2"/>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Показники вимірювання</w:t>
            </w:r>
          </w:p>
        </w:tc>
      </w:tr>
      <w:tr w:rsidR="004E40C8" w:rsidTr="00DF25B5">
        <w:tc>
          <w:tcPr>
            <w:tcW w:w="1242" w:type="dxa"/>
            <w:tcBorders>
              <w:bottom w:val="single" w:sz="4" w:space="0" w:color="auto"/>
            </w:tcBorders>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32" w:type="dxa"/>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78" w:type="dxa"/>
            <w:gridSpan w:val="2"/>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4E40C8" w:rsidTr="00DF25B5">
        <w:tc>
          <w:tcPr>
            <w:tcW w:w="1242" w:type="dxa"/>
            <w:tcBorders>
              <w:bottom w:val="nil"/>
            </w:tcBorders>
            <w:vAlign w:val="center"/>
          </w:tcPr>
          <w:p w:rsidR="004E40C8" w:rsidRPr="00F517D1" w:rsidRDefault="004E40C8" w:rsidP="004577CE">
            <w:pPr>
              <w:widowControl w:val="0"/>
              <w:jc w:val="center"/>
              <w:rPr>
                <w:rFonts w:ascii="Times New Roman" w:hAnsi="Times New Roman" w:cs="Times New Roman"/>
                <w:sz w:val="24"/>
                <w:szCs w:val="24"/>
                <w:lang w:val="uk-UA"/>
              </w:rPr>
            </w:pPr>
          </w:p>
        </w:tc>
        <w:tc>
          <w:tcPr>
            <w:tcW w:w="123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Економічні</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Рівень доходів населення країни</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Середньомісячна заробітна плата</w:t>
            </w:r>
          </w:p>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Середньорічна заробітна плата</w:t>
            </w:r>
          </w:p>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ВВП на душу населення</w:t>
            </w:r>
          </w:p>
        </w:tc>
        <w:tc>
          <w:tcPr>
            <w:tcW w:w="418"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lang w:val="uk-UA"/>
              </w:rPr>
              <w:t>Базельський індекс протидії відмиванню грошей</w:t>
            </w:r>
          </w:p>
        </w:tc>
      </w:tr>
      <w:tr w:rsidR="004E40C8" w:rsidTr="00DF25B5">
        <w:tc>
          <w:tcPr>
            <w:tcW w:w="1242" w:type="dxa"/>
            <w:tcBorders>
              <w:top w:val="nil"/>
              <w:bottom w:val="nil"/>
            </w:tcBorders>
            <w:vAlign w:val="center"/>
          </w:tcPr>
          <w:p w:rsidR="004E40C8" w:rsidRPr="00F517D1" w:rsidRDefault="004E40C8" w:rsidP="004577CE">
            <w:pPr>
              <w:widowControl w:val="0"/>
              <w:jc w:val="center"/>
              <w:rPr>
                <w:rFonts w:ascii="Times New Roman" w:hAnsi="Times New Roman" w:cs="Times New Roman"/>
                <w:sz w:val="24"/>
                <w:szCs w:val="24"/>
                <w:lang w:val="uk-UA"/>
              </w:rPr>
            </w:pP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Наявність та обсяги неофіційних доходів або наявність та обсяги тіньової економіки</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Середньомісячна заробітна плата «у конвертах»</w:t>
            </w:r>
          </w:p>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Рівень тіньової економіки: відсо</w:t>
            </w:r>
            <w:r w:rsidRPr="00F517D1">
              <w:rPr>
                <w:rFonts w:ascii="Times New Roman" w:hAnsi="Times New Roman" w:cs="Times New Roman"/>
                <w:sz w:val="24"/>
                <w:szCs w:val="24"/>
                <w:lang w:val="uk-UA"/>
              </w:rPr>
              <w:softHyphen/>
              <w:t>ток від ВВП</w:t>
            </w:r>
          </w:p>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Обсяги тіньової економіки</w:t>
            </w:r>
          </w:p>
        </w:tc>
        <w:tc>
          <w:tcPr>
            <w:tcW w:w="418" w:type="dxa"/>
            <w:vMerge/>
          </w:tcPr>
          <w:p w:rsidR="004E40C8" w:rsidRPr="00F517D1" w:rsidRDefault="004E40C8" w:rsidP="004577CE">
            <w:pPr>
              <w:widowControl w:val="0"/>
              <w:rPr>
                <w:rFonts w:ascii="Times New Roman" w:hAnsi="Times New Roman" w:cs="Times New Roman"/>
                <w:sz w:val="24"/>
                <w:szCs w:val="24"/>
                <w:lang w:val="uk-UA"/>
              </w:rPr>
            </w:pPr>
          </w:p>
        </w:tc>
      </w:tr>
      <w:tr w:rsidR="004E40C8" w:rsidTr="00DF25B5">
        <w:trPr>
          <w:cantSplit/>
          <w:trHeight w:val="797"/>
        </w:trPr>
        <w:tc>
          <w:tcPr>
            <w:tcW w:w="1242" w:type="dxa"/>
            <w:vMerge w:val="restart"/>
            <w:tcBorders>
              <w:top w:val="nil"/>
              <w:bottom w:val="nil"/>
            </w:tcBorders>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Географічні</w:t>
            </w: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Результати роботи системи фінансового моніторингу</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shd w:val="clear" w:color="auto" w:fill="FFFFFF"/>
                <w:lang w:val="uk-UA"/>
              </w:rPr>
              <w:t>Кількість повідомлень про операції, що підлягають фінансовому моніторингу</w:t>
            </w:r>
          </w:p>
        </w:tc>
        <w:tc>
          <w:tcPr>
            <w:tcW w:w="418" w:type="dxa"/>
            <w:vMerge/>
          </w:tcPr>
          <w:p w:rsidR="004E40C8" w:rsidRPr="00F517D1" w:rsidRDefault="004E40C8" w:rsidP="004577CE">
            <w:pPr>
              <w:widowControl w:val="0"/>
              <w:rPr>
                <w:rFonts w:ascii="Times New Roman" w:hAnsi="Times New Roman" w:cs="Times New Roman"/>
                <w:sz w:val="24"/>
                <w:szCs w:val="24"/>
                <w:shd w:val="clear" w:color="auto" w:fill="FFFFFF"/>
                <w:lang w:val="uk-UA"/>
              </w:rPr>
            </w:pPr>
          </w:p>
        </w:tc>
      </w:tr>
      <w:tr w:rsidR="004E40C8" w:rsidTr="00DF25B5">
        <w:trPr>
          <w:cantSplit/>
          <w:trHeight w:val="1134"/>
        </w:trPr>
        <w:tc>
          <w:tcPr>
            <w:tcW w:w="1242" w:type="dxa"/>
            <w:vMerge/>
            <w:tcBorders>
              <w:top w:val="nil"/>
              <w:bottom w:val="nil"/>
            </w:tcBorders>
            <w:vAlign w:val="center"/>
          </w:tcPr>
          <w:p w:rsidR="004E40C8" w:rsidRPr="00F517D1" w:rsidRDefault="004E40C8" w:rsidP="004577CE">
            <w:pPr>
              <w:widowControl w:val="0"/>
              <w:jc w:val="center"/>
              <w:rPr>
                <w:rFonts w:ascii="Times New Roman" w:hAnsi="Times New Roman" w:cs="Times New Roman"/>
                <w:sz w:val="24"/>
                <w:szCs w:val="24"/>
                <w:lang w:val="uk-UA"/>
              </w:rPr>
            </w:pPr>
          </w:p>
        </w:tc>
        <w:tc>
          <w:tcPr>
            <w:tcW w:w="1232" w:type="dxa"/>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Політичні</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Якість державного управління, у тому числі наявність та обсяги корупції</w:t>
            </w:r>
          </w:p>
        </w:tc>
        <w:tc>
          <w:tcPr>
            <w:tcW w:w="4660" w:type="dxa"/>
            <w:vAlign w:val="center"/>
          </w:tcPr>
          <w:p w:rsidR="004E40C8"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Індекс якості державного управління</w:t>
            </w:r>
          </w:p>
          <w:p w:rsidR="004E40C8"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Індекс сприйняття корупції</w:t>
            </w:r>
          </w:p>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Індекс нестабільності країни</w:t>
            </w:r>
          </w:p>
        </w:tc>
        <w:tc>
          <w:tcPr>
            <w:tcW w:w="418" w:type="dxa"/>
            <w:vMerge/>
          </w:tcPr>
          <w:p w:rsidR="004E40C8" w:rsidRPr="00F517D1" w:rsidRDefault="004E40C8" w:rsidP="004577CE">
            <w:pPr>
              <w:widowControl w:val="0"/>
              <w:rPr>
                <w:rFonts w:ascii="Times New Roman" w:hAnsi="Times New Roman" w:cs="Times New Roman"/>
                <w:sz w:val="24"/>
                <w:szCs w:val="24"/>
                <w:lang w:val="uk-UA"/>
              </w:rPr>
            </w:pPr>
          </w:p>
        </w:tc>
      </w:tr>
      <w:tr w:rsidR="004E40C8" w:rsidTr="00DF25B5">
        <w:tc>
          <w:tcPr>
            <w:tcW w:w="1242" w:type="dxa"/>
            <w:tcBorders>
              <w:top w:val="nil"/>
              <w:bottom w:val="nil"/>
            </w:tcBorders>
            <w:vAlign w:val="center"/>
          </w:tcPr>
          <w:p w:rsidR="004E40C8" w:rsidRPr="00F517D1" w:rsidRDefault="004E40C8" w:rsidP="004577CE">
            <w:pPr>
              <w:widowControl w:val="0"/>
              <w:jc w:val="center"/>
              <w:rPr>
                <w:rFonts w:ascii="Times New Roman" w:hAnsi="Times New Roman" w:cs="Times New Roman"/>
                <w:sz w:val="24"/>
                <w:szCs w:val="24"/>
                <w:lang w:val="uk-UA"/>
              </w:rPr>
            </w:pPr>
          </w:p>
        </w:tc>
        <w:tc>
          <w:tcPr>
            <w:tcW w:w="123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Нормативно-правові</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Ліберальне державне регулювання</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Індекс верховенства права</w:t>
            </w:r>
          </w:p>
        </w:tc>
        <w:tc>
          <w:tcPr>
            <w:tcW w:w="418" w:type="dxa"/>
            <w:vMerge/>
          </w:tcPr>
          <w:p w:rsidR="004E40C8" w:rsidRPr="00F517D1" w:rsidRDefault="004E40C8" w:rsidP="004577CE">
            <w:pPr>
              <w:widowControl w:val="0"/>
              <w:rPr>
                <w:rFonts w:ascii="Times New Roman" w:hAnsi="Times New Roman" w:cs="Times New Roman"/>
                <w:sz w:val="24"/>
                <w:szCs w:val="24"/>
                <w:lang w:val="uk-UA"/>
              </w:rPr>
            </w:pPr>
          </w:p>
        </w:tc>
      </w:tr>
      <w:tr w:rsidR="004E40C8" w:rsidTr="00DF25B5">
        <w:tc>
          <w:tcPr>
            <w:tcW w:w="1242" w:type="dxa"/>
            <w:tcBorders>
              <w:top w:val="nil"/>
              <w:bottom w:val="nil"/>
            </w:tcBorders>
            <w:vAlign w:val="center"/>
          </w:tcPr>
          <w:p w:rsidR="004E40C8" w:rsidRPr="00F517D1" w:rsidRDefault="004E40C8" w:rsidP="004577CE">
            <w:pPr>
              <w:widowControl w:val="0"/>
              <w:jc w:val="center"/>
              <w:rPr>
                <w:rFonts w:ascii="Times New Roman" w:hAnsi="Times New Roman" w:cs="Times New Roman"/>
                <w:sz w:val="24"/>
                <w:szCs w:val="24"/>
                <w:lang w:val="uk-UA"/>
              </w:rPr>
            </w:pPr>
          </w:p>
        </w:tc>
        <w:tc>
          <w:tcPr>
            <w:tcW w:w="123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Недосконалість системи фінансового моніторингу</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Рівень фінансової прозорості</w:t>
            </w:r>
          </w:p>
        </w:tc>
        <w:tc>
          <w:tcPr>
            <w:tcW w:w="418" w:type="dxa"/>
            <w:vMerge/>
          </w:tcPr>
          <w:p w:rsidR="004E40C8" w:rsidRPr="00F517D1" w:rsidRDefault="004E40C8" w:rsidP="004577CE">
            <w:pPr>
              <w:widowControl w:val="0"/>
              <w:rPr>
                <w:rFonts w:ascii="Times New Roman" w:hAnsi="Times New Roman" w:cs="Times New Roman"/>
                <w:sz w:val="24"/>
                <w:szCs w:val="24"/>
                <w:lang w:val="uk-UA"/>
              </w:rPr>
            </w:pPr>
          </w:p>
        </w:tc>
      </w:tr>
      <w:tr w:rsidR="004E40C8" w:rsidTr="00DF25B5">
        <w:trPr>
          <w:cantSplit/>
          <w:trHeight w:val="1134"/>
        </w:trPr>
        <w:tc>
          <w:tcPr>
            <w:tcW w:w="1242" w:type="dxa"/>
            <w:tcBorders>
              <w:top w:val="nil"/>
              <w:bottom w:val="single" w:sz="4" w:space="0" w:color="auto"/>
            </w:tcBorders>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123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Відмові керівництва країни від співпраці щодо протидії відмиванню коштів</w:t>
            </w:r>
          </w:p>
        </w:tc>
        <w:tc>
          <w:tcPr>
            <w:tcW w:w="4660" w:type="dxa"/>
            <w:vAlign w:val="center"/>
          </w:tcPr>
          <w:p w:rsidR="004E40C8" w:rsidRPr="00F517D1" w:rsidRDefault="004E40C8" w:rsidP="004577CE">
            <w:pPr>
              <w:widowControl w:val="0"/>
              <w:rPr>
                <w:rFonts w:ascii="Times New Roman" w:hAnsi="Times New Roman" w:cs="Times New Roman"/>
                <w:sz w:val="24"/>
                <w:szCs w:val="24"/>
                <w:lang w:val="uk-UA"/>
              </w:rPr>
            </w:pPr>
            <w:r w:rsidRPr="00F517D1">
              <w:rPr>
                <w:rFonts w:ascii="Times New Roman" w:hAnsi="Times New Roman" w:cs="Times New Roman"/>
                <w:sz w:val="24"/>
                <w:szCs w:val="24"/>
                <w:lang w:val="uk-UA"/>
              </w:rPr>
              <w:t>Якісна характеристика (країна або ратифікувала документи ФАТФ, виконує стандарти і ре</w:t>
            </w:r>
            <w:r>
              <w:rPr>
                <w:rFonts w:ascii="Times New Roman" w:hAnsi="Times New Roman" w:cs="Times New Roman"/>
                <w:sz w:val="24"/>
                <w:szCs w:val="24"/>
                <w:lang w:val="uk-UA"/>
              </w:rPr>
              <w:softHyphen/>
            </w:r>
            <w:r w:rsidRPr="00F517D1">
              <w:rPr>
                <w:rFonts w:ascii="Times New Roman" w:hAnsi="Times New Roman" w:cs="Times New Roman"/>
                <w:sz w:val="24"/>
                <w:szCs w:val="24"/>
                <w:lang w:val="uk-UA"/>
              </w:rPr>
              <w:t>комендації та бере участь у про</w:t>
            </w:r>
            <w:r>
              <w:rPr>
                <w:rFonts w:ascii="Times New Roman" w:hAnsi="Times New Roman" w:cs="Times New Roman"/>
                <w:sz w:val="24"/>
                <w:szCs w:val="24"/>
                <w:lang w:val="uk-UA"/>
              </w:rPr>
              <w:softHyphen/>
            </w:r>
            <w:r w:rsidRPr="00F517D1">
              <w:rPr>
                <w:rFonts w:ascii="Times New Roman" w:hAnsi="Times New Roman" w:cs="Times New Roman"/>
                <w:sz w:val="24"/>
                <w:szCs w:val="24"/>
                <w:lang w:val="uk-UA"/>
              </w:rPr>
              <w:t>тидії відмиванню коштів, або ні)</w:t>
            </w:r>
          </w:p>
        </w:tc>
        <w:tc>
          <w:tcPr>
            <w:tcW w:w="418" w:type="dxa"/>
            <w:vMerge/>
          </w:tcPr>
          <w:p w:rsidR="004E40C8" w:rsidRPr="00F517D1" w:rsidRDefault="004E40C8" w:rsidP="004577CE">
            <w:pPr>
              <w:widowControl w:val="0"/>
              <w:rPr>
                <w:rFonts w:ascii="Times New Roman" w:hAnsi="Times New Roman" w:cs="Times New Roman"/>
                <w:sz w:val="24"/>
                <w:szCs w:val="24"/>
                <w:lang w:val="uk-UA"/>
              </w:rPr>
            </w:pPr>
          </w:p>
        </w:tc>
      </w:tr>
      <w:tr w:rsidR="004E40C8" w:rsidRPr="005E0E48" w:rsidTr="00DF25B5">
        <w:tc>
          <w:tcPr>
            <w:tcW w:w="124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F517D1">
              <w:rPr>
                <w:rFonts w:ascii="Times New Roman" w:hAnsi="Times New Roman" w:cs="Times New Roman"/>
                <w:sz w:val="24"/>
                <w:szCs w:val="24"/>
                <w:lang w:val="uk-UA"/>
              </w:rPr>
              <w:t>лієнтські</w:t>
            </w:r>
          </w:p>
        </w:tc>
        <w:tc>
          <w:tcPr>
            <w:tcW w:w="123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юридичних осіб</w:t>
            </w:r>
          </w:p>
        </w:tc>
        <w:tc>
          <w:tcPr>
            <w:tcW w:w="2359" w:type="dxa"/>
            <w:vAlign w:val="center"/>
          </w:tcPr>
          <w:p w:rsidR="004E40C8" w:rsidRPr="002331B4" w:rsidRDefault="004E40C8" w:rsidP="004577CE">
            <w:pPr>
              <w:widowControl w:val="0"/>
              <w:jc w:val="center"/>
              <w:rPr>
                <w:rFonts w:ascii="Times New Roman" w:hAnsi="Times New Roman" w:cs="Times New Roman"/>
                <w:sz w:val="24"/>
                <w:szCs w:val="24"/>
                <w:lang w:val="uk-UA"/>
              </w:rPr>
            </w:pPr>
            <w:r w:rsidRPr="002331B4">
              <w:rPr>
                <w:rFonts w:ascii="Times New Roman" w:hAnsi="Times New Roman" w:cs="Times New Roman"/>
                <w:sz w:val="24"/>
                <w:szCs w:val="24"/>
                <w:lang w:val="uk-UA"/>
              </w:rPr>
              <w:t>Вид діяльності</w:t>
            </w:r>
          </w:p>
        </w:tc>
        <w:tc>
          <w:tcPr>
            <w:tcW w:w="5078" w:type="dxa"/>
            <w:gridSpan w:val="2"/>
            <w:vAlign w:val="center"/>
          </w:tcPr>
          <w:p w:rsidR="004E40C8" w:rsidRPr="002331B4" w:rsidRDefault="004E40C8" w:rsidP="004577CE">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Якісний показник: юридичні особи, що працюють у сфері </w:t>
            </w:r>
            <w:r w:rsidRPr="002331B4">
              <w:rPr>
                <w:rFonts w:ascii="Times New Roman" w:hAnsi="Times New Roman" w:cs="Times New Roman"/>
                <w:sz w:val="24"/>
                <w:szCs w:val="24"/>
                <w:lang w:val="uk-UA"/>
              </w:rPr>
              <w:t>приватизації майна, дер</w:t>
            </w:r>
            <w:r>
              <w:rPr>
                <w:rFonts w:ascii="Times New Roman" w:hAnsi="Times New Roman" w:cs="Times New Roman"/>
                <w:sz w:val="24"/>
                <w:szCs w:val="24"/>
                <w:lang w:val="uk-UA"/>
              </w:rPr>
              <w:softHyphen/>
            </w:r>
            <w:r w:rsidRPr="002331B4">
              <w:rPr>
                <w:rFonts w:ascii="Times New Roman" w:hAnsi="Times New Roman" w:cs="Times New Roman"/>
                <w:sz w:val="24"/>
                <w:szCs w:val="24"/>
                <w:lang w:val="uk-UA"/>
              </w:rPr>
              <w:t>жавних закупівель, масштабних інфра</w:t>
            </w:r>
            <w:r>
              <w:rPr>
                <w:rFonts w:ascii="Times New Roman" w:hAnsi="Times New Roman" w:cs="Times New Roman"/>
                <w:sz w:val="24"/>
                <w:szCs w:val="24"/>
                <w:lang w:val="uk-UA"/>
              </w:rPr>
              <w:softHyphen/>
            </w:r>
            <w:r w:rsidRPr="002331B4">
              <w:rPr>
                <w:rFonts w:ascii="Times New Roman" w:hAnsi="Times New Roman" w:cs="Times New Roman"/>
                <w:sz w:val="24"/>
                <w:szCs w:val="24"/>
                <w:lang w:val="uk-UA"/>
              </w:rPr>
              <w:t>структурних проектів, добування корисних копалин, охорони здоров’я, здійснення до</w:t>
            </w:r>
            <w:r>
              <w:rPr>
                <w:rFonts w:ascii="Times New Roman" w:hAnsi="Times New Roman" w:cs="Times New Roman"/>
                <w:sz w:val="24"/>
                <w:szCs w:val="24"/>
                <w:lang w:val="uk-UA"/>
              </w:rPr>
              <w:softHyphen/>
            </w:r>
            <w:r w:rsidRPr="002331B4">
              <w:rPr>
                <w:rFonts w:ascii="Times New Roman" w:hAnsi="Times New Roman" w:cs="Times New Roman"/>
                <w:sz w:val="24"/>
                <w:szCs w:val="24"/>
                <w:lang w:val="uk-UA"/>
              </w:rPr>
              <w:t>помоги з метою розвитку секторі безпеки, оборони та військових операцій</w:t>
            </w:r>
          </w:p>
        </w:tc>
      </w:tr>
      <w:tr w:rsidR="004E40C8" w:rsidRPr="005E0E48" w:rsidTr="00DF25B5">
        <w:tc>
          <w:tcPr>
            <w:tcW w:w="124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vAlign w:val="center"/>
          </w:tcPr>
          <w:p w:rsidR="004E40C8" w:rsidRPr="002331B4" w:rsidRDefault="004E40C8" w:rsidP="004577CE">
            <w:pPr>
              <w:widowControl w:val="0"/>
              <w:jc w:val="center"/>
              <w:rPr>
                <w:rFonts w:ascii="Times New Roman" w:hAnsi="Times New Roman" w:cs="Times New Roman"/>
                <w:sz w:val="24"/>
                <w:szCs w:val="24"/>
                <w:lang w:val="uk-UA"/>
              </w:rPr>
            </w:pPr>
            <w:r w:rsidRPr="002331B4">
              <w:rPr>
                <w:rFonts w:ascii="Times New Roman" w:hAnsi="Times New Roman" w:cs="Times New Roman"/>
                <w:sz w:val="24"/>
                <w:szCs w:val="24"/>
                <w:lang w:val="uk-UA"/>
              </w:rPr>
              <w:t>Бенефіціарні власники</w:t>
            </w:r>
          </w:p>
        </w:tc>
        <w:tc>
          <w:tcPr>
            <w:tcW w:w="5078" w:type="dxa"/>
            <w:gridSpan w:val="2"/>
            <w:vAlign w:val="center"/>
          </w:tcPr>
          <w:p w:rsidR="004E40C8" w:rsidRPr="002331B4"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Якісний показник: юридичні особи, у</w:t>
            </w:r>
            <w:r w:rsidRPr="002331B4">
              <w:rPr>
                <w:rFonts w:ascii="Times New Roman" w:hAnsi="Times New Roman" w:cs="Times New Roman"/>
                <w:sz w:val="24"/>
                <w:szCs w:val="24"/>
                <w:lang w:val="uk-UA"/>
              </w:rPr>
              <w:t xml:space="preserve"> складі власників яких є політичні діячі, чиновники, близькі родичі зазначених категорій клієнтів, їх довірені особи (представники інтересів, компанії-розпорядники статків, родичі, що є резидентами інших країни)</w:t>
            </w:r>
          </w:p>
        </w:tc>
      </w:tr>
      <w:tr w:rsidR="004E40C8" w:rsidTr="00DF25B5">
        <w:trPr>
          <w:trHeight w:val="1477"/>
        </w:trPr>
        <w:tc>
          <w:tcPr>
            <w:tcW w:w="1242" w:type="dxa"/>
            <w:vMerge/>
            <w:tcBorders>
              <w:bottom w:val="single" w:sz="4" w:space="0" w:color="auto"/>
            </w:tcBorders>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tcBorders>
              <w:bottom w:val="single" w:sz="4" w:space="0" w:color="auto"/>
            </w:tcBorders>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фізичних осіб</w:t>
            </w:r>
          </w:p>
        </w:tc>
        <w:tc>
          <w:tcPr>
            <w:tcW w:w="2359" w:type="dxa"/>
            <w:vAlign w:val="center"/>
          </w:tcPr>
          <w:p w:rsidR="004E40C8" w:rsidRPr="002331B4"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2331B4">
              <w:rPr>
                <w:rFonts w:ascii="Times New Roman" w:hAnsi="Times New Roman" w:cs="Times New Roman"/>
                <w:sz w:val="24"/>
                <w:szCs w:val="24"/>
                <w:lang w:val="uk-UA"/>
              </w:rPr>
              <w:t>фера основної зайнятості</w:t>
            </w:r>
          </w:p>
        </w:tc>
        <w:tc>
          <w:tcPr>
            <w:tcW w:w="5078" w:type="dxa"/>
            <w:gridSpan w:val="2"/>
            <w:vAlign w:val="center"/>
          </w:tcPr>
          <w:p w:rsidR="004E40C8"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Якісний показник: п</w:t>
            </w:r>
            <w:r w:rsidRPr="002331B4">
              <w:rPr>
                <w:rFonts w:ascii="Times New Roman" w:hAnsi="Times New Roman" w:cs="Times New Roman"/>
                <w:sz w:val="24"/>
                <w:szCs w:val="24"/>
                <w:lang w:val="uk-UA"/>
              </w:rPr>
              <w:t>ублічн</w:t>
            </w:r>
            <w:r>
              <w:rPr>
                <w:rFonts w:ascii="Times New Roman" w:hAnsi="Times New Roman" w:cs="Times New Roman"/>
                <w:sz w:val="24"/>
                <w:szCs w:val="24"/>
                <w:lang w:val="uk-UA"/>
              </w:rPr>
              <w:t>і</w:t>
            </w:r>
            <w:r w:rsidRPr="002331B4">
              <w:rPr>
                <w:rFonts w:ascii="Times New Roman" w:hAnsi="Times New Roman" w:cs="Times New Roman"/>
                <w:sz w:val="24"/>
                <w:szCs w:val="24"/>
                <w:lang w:val="uk-UA"/>
              </w:rPr>
              <w:t xml:space="preserve"> та політичн</w:t>
            </w:r>
            <w:r>
              <w:rPr>
                <w:rFonts w:ascii="Times New Roman" w:hAnsi="Times New Roman" w:cs="Times New Roman"/>
                <w:sz w:val="24"/>
                <w:szCs w:val="24"/>
                <w:lang w:val="uk-UA"/>
              </w:rPr>
              <w:t>і діячі</w:t>
            </w:r>
            <w:r w:rsidR="005E2E8B">
              <w:rPr>
                <w:rFonts w:ascii="Times New Roman" w:hAnsi="Times New Roman" w:cs="Times New Roman"/>
                <w:sz w:val="24"/>
                <w:szCs w:val="24"/>
                <w:lang w:val="uk-UA"/>
              </w:rPr>
              <w:t>, у т.</w:t>
            </w:r>
            <w:r w:rsidRPr="002331B4">
              <w:rPr>
                <w:rFonts w:ascii="Times New Roman" w:hAnsi="Times New Roman" w:cs="Times New Roman"/>
                <w:sz w:val="24"/>
                <w:szCs w:val="24"/>
                <w:lang w:val="uk-UA"/>
              </w:rPr>
              <w:t xml:space="preserve"> ч</w:t>
            </w:r>
            <w:r w:rsidR="005E2E8B">
              <w:rPr>
                <w:rFonts w:ascii="Times New Roman" w:hAnsi="Times New Roman" w:cs="Times New Roman"/>
                <w:sz w:val="24"/>
                <w:szCs w:val="24"/>
                <w:lang w:val="uk-UA"/>
              </w:rPr>
              <w:t>.</w:t>
            </w:r>
            <w:r w:rsidRPr="002331B4">
              <w:rPr>
                <w:rFonts w:ascii="Times New Roman" w:hAnsi="Times New Roman" w:cs="Times New Roman"/>
                <w:sz w:val="24"/>
                <w:szCs w:val="24"/>
                <w:lang w:val="uk-UA"/>
              </w:rPr>
              <w:t xml:space="preserve"> іноземних держав</w:t>
            </w:r>
            <w:r w:rsidR="009B6207">
              <w:rPr>
                <w:rFonts w:ascii="Times New Roman" w:hAnsi="Times New Roman" w:cs="Times New Roman"/>
                <w:sz w:val="24"/>
                <w:szCs w:val="24"/>
                <w:lang w:val="uk-UA"/>
              </w:rPr>
              <w:t xml:space="preserve">, </w:t>
            </w:r>
            <w:r>
              <w:rPr>
                <w:rFonts w:ascii="Times New Roman" w:hAnsi="Times New Roman" w:cs="Times New Roman"/>
                <w:sz w:val="24"/>
                <w:szCs w:val="24"/>
                <w:lang w:val="uk-UA"/>
              </w:rPr>
              <w:t>чиновники</w:t>
            </w:r>
            <w:r w:rsidRPr="002331B4">
              <w:rPr>
                <w:rFonts w:ascii="Times New Roman" w:hAnsi="Times New Roman" w:cs="Times New Roman"/>
                <w:sz w:val="24"/>
                <w:szCs w:val="24"/>
                <w:lang w:val="uk-UA"/>
              </w:rPr>
              <w:t xml:space="preserve">, </w:t>
            </w:r>
            <w:r w:rsidR="009B6207">
              <w:rPr>
                <w:rFonts w:ascii="Times New Roman" w:hAnsi="Times New Roman" w:cs="Times New Roman"/>
                <w:sz w:val="24"/>
                <w:szCs w:val="24"/>
                <w:lang w:val="uk-UA"/>
              </w:rPr>
              <w:t>їх</w:t>
            </w:r>
            <w:r w:rsidRPr="002331B4">
              <w:rPr>
                <w:rFonts w:ascii="Times New Roman" w:hAnsi="Times New Roman" w:cs="Times New Roman"/>
                <w:sz w:val="24"/>
                <w:szCs w:val="24"/>
                <w:lang w:val="uk-UA"/>
              </w:rPr>
              <w:t xml:space="preserve"> близьк</w:t>
            </w:r>
            <w:r>
              <w:rPr>
                <w:rFonts w:ascii="Times New Roman" w:hAnsi="Times New Roman" w:cs="Times New Roman"/>
                <w:sz w:val="24"/>
                <w:szCs w:val="24"/>
                <w:lang w:val="uk-UA"/>
              </w:rPr>
              <w:t>і</w:t>
            </w:r>
            <w:r w:rsidRPr="002331B4">
              <w:rPr>
                <w:rFonts w:ascii="Times New Roman" w:hAnsi="Times New Roman" w:cs="Times New Roman"/>
                <w:sz w:val="24"/>
                <w:szCs w:val="24"/>
                <w:lang w:val="uk-UA"/>
              </w:rPr>
              <w:t xml:space="preserve"> родичі</w:t>
            </w:r>
            <w:r>
              <w:rPr>
                <w:rFonts w:ascii="Times New Roman" w:hAnsi="Times New Roman" w:cs="Times New Roman"/>
                <w:sz w:val="24"/>
                <w:szCs w:val="24"/>
                <w:lang w:val="uk-UA"/>
              </w:rPr>
              <w:t xml:space="preserve"> </w:t>
            </w:r>
          </w:p>
          <w:p w:rsidR="009B6207" w:rsidRDefault="009B6207"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Кількість чиновників в державі</w:t>
            </w:r>
          </w:p>
          <w:p w:rsidR="005E2E8B" w:rsidRPr="002331B4" w:rsidRDefault="005E2E8B"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Кількість клієнтів банку з особливим статусом</w:t>
            </w:r>
          </w:p>
        </w:tc>
      </w:tr>
    </w:tbl>
    <w:p w:rsidR="00DF25B5" w:rsidRDefault="00DF25B5" w:rsidP="004577CE">
      <w:pPr>
        <w:widowControl w:val="0"/>
        <w:spacing w:line="360" w:lineRule="auto"/>
        <w:jc w:val="right"/>
        <w:rPr>
          <w:rFonts w:ascii="Times New Roman" w:hAnsi="Times New Roman" w:cs="Times New Roman"/>
          <w:lang w:val="uk-UA"/>
        </w:rPr>
      </w:pPr>
    </w:p>
    <w:p w:rsidR="004E40C8" w:rsidRPr="004E40C8" w:rsidRDefault="004E40C8" w:rsidP="004577CE">
      <w:pPr>
        <w:widowControl w:val="0"/>
        <w:spacing w:line="360" w:lineRule="auto"/>
        <w:jc w:val="right"/>
        <w:rPr>
          <w:rFonts w:ascii="Times New Roman" w:hAnsi="Times New Roman" w:cs="Times New Roman"/>
          <w:lang w:val="uk-UA"/>
        </w:rPr>
      </w:pPr>
      <w:r>
        <w:rPr>
          <w:rFonts w:ascii="Times New Roman" w:hAnsi="Times New Roman" w:cs="Times New Roman"/>
          <w:lang w:val="uk-UA"/>
        </w:rPr>
        <w:lastRenderedPageBreak/>
        <w:t>Продовження табл. 7</w:t>
      </w:r>
    </w:p>
    <w:tbl>
      <w:tblPr>
        <w:tblStyle w:val="a7"/>
        <w:tblW w:w="9918" w:type="dxa"/>
        <w:tblCellMar>
          <w:left w:w="28" w:type="dxa"/>
          <w:right w:w="28" w:type="dxa"/>
        </w:tblCellMar>
        <w:tblLook w:val="04A0" w:firstRow="1" w:lastRow="0" w:firstColumn="1" w:lastColumn="0" w:noHBand="0" w:noVBand="1"/>
      </w:tblPr>
      <w:tblGrid>
        <w:gridCol w:w="1242"/>
        <w:gridCol w:w="1232"/>
        <w:gridCol w:w="2359"/>
        <w:gridCol w:w="5085"/>
      </w:tblGrid>
      <w:tr w:rsidR="004E40C8" w:rsidRPr="00F517D1" w:rsidTr="00DF25B5">
        <w:tc>
          <w:tcPr>
            <w:tcW w:w="1242" w:type="dxa"/>
            <w:tcBorders>
              <w:bottom w:val="single" w:sz="4" w:space="0" w:color="auto"/>
            </w:tcBorders>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32" w:type="dxa"/>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59" w:type="dxa"/>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85" w:type="dxa"/>
            <w:vAlign w:val="center"/>
          </w:tcPr>
          <w:p w:rsidR="004E40C8" w:rsidRPr="00F517D1" w:rsidRDefault="004E40C8" w:rsidP="004577CE">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4E40C8" w:rsidTr="00DF25B5">
        <w:trPr>
          <w:cantSplit/>
          <w:trHeight w:val="1510"/>
        </w:trPr>
        <w:tc>
          <w:tcPr>
            <w:tcW w:w="1242" w:type="dxa"/>
            <w:tcBorders>
              <w:top w:val="nil"/>
            </w:tcBorders>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F517D1">
              <w:rPr>
                <w:rFonts w:ascii="Times New Roman" w:hAnsi="Times New Roman" w:cs="Times New Roman"/>
                <w:sz w:val="24"/>
                <w:szCs w:val="24"/>
                <w:lang w:val="uk-UA"/>
              </w:rPr>
              <w:t>лієнтські</w:t>
            </w:r>
          </w:p>
        </w:tc>
        <w:tc>
          <w:tcPr>
            <w:tcW w:w="1232" w:type="dxa"/>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фізичних осіб</w:t>
            </w:r>
          </w:p>
        </w:tc>
        <w:tc>
          <w:tcPr>
            <w:tcW w:w="2359" w:type="dxa"/>
            <w:vAlign w:val="center"/>
          </w:tcPr>
          <w:p w:rsidR="004E40C8" w:rsidRPr="002331B4" w:rsidRDefault="004E40C8" w:rsidP="004577CE">
            <w:pPr>
              <w:widowControl w:val="0"/>
              <w:jc w:val="center"/>
              <w:rPr>
                <w:rFonts w:ascii="Times New Roman" w:hAnsi="Times New Roman" w:cs="Times New Roman"/>
                <w:sz w:val="24"/>
                <w:szCs w:val="24"/>
                <w:lang w:val="uk-UA"/>
              </w:rPr>
            </w:pPr>
            <w:r w:rsidRPr="002331B4">
              <w:rPr>
                <w:rFonts w:ascii="Times New Roman" w:hAnsi="Times New Roman" w:cs="Times New Roman"/>
                <w:sz w:val="24"/>
                <w:szCs w:val="24"/>
                <w:lang w:val="uk-UA"/>
              </w:rPr>
              <w:t>Мета відкриття рахунків</w:t>
            </w:r>
          </w:p>
        </w:tc>
        <w:tc>
          <w:tcPr>
            <w:tcW w:w="5085" w:type="dxa"/>
            <w:vAlign w:val="center"/>
          </w:tcPr>
          <w:p w:rsidR="004E40C8" w:rsidRPr="00F517D1"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Якісний показник: має бути законодавчо дозволена та підтверджена відповідним дозвільним документом, наприклад, індивідуальною ліцензією, причина відкриття рахунків за межами країни</w:t>
            </w:r>
          </w:p>
        </w:tc>
      </w:tr>
      <w:tr w:rsidR="004E40C8" w:rsidTr="00DF25B5">
        <w:tc>
          <w:tcPr>
            <w:tcW w:w="124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sidRPr="00F517D1">
              <w:rPr>
                <w:rFonts w:ascii="Times New Roman" w:hAnsi="Times New Roman" w:cs="Times New Roman"/>
                <w:sz w:val="24"/>
                <w:szCs w:val="24"/>
                <w:lang w:val="uk-UA"/>
              </w:rPr>
              <w:t>Операційні або продуктові</w:t>
            </w:r>
          </w:p>
        </w:tc>
        <w:tc>
          <w:tcPr>
            <w:tcW w:w="123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Операції в межах легальної економіки</w:t>
            </w:r>
          </w:p>
        </w:tc>
        <w:tc>
          <w:tcPr>
            <w:tcW w:w="2359" w:type="dxa"/>
          </w:tcPr>
          <w:p w:rsidR="004E40C8" w:rsidRPr="00F517D1" w:rsidRDefault="004E40C8" w:rsidP="004577CE">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Обсяги обігу готівки в країні</w:t>
            </w:r>
          </w:p>
        </w:tc>
        <w:tc>
          <w:tcPr>
            <w:tcW w:w="5085" w:type="dxa"/>
            <w:vAlign w:val="center"/>
          </w:tcPr>
          <w:p w:rsidR="004E40C8" w:rsidRDefault="004E40C8" w:rsidP="004577CE">
            <w:pPr>
              <w:widowControl w:val="0"/>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Готівкові кошти, випущені в обіг</w:t>
            </w:r>
          </w:p>
          <w:p w:rsidR="004E40C8" w:rsidRDefault="004E40C8" w:rsidP="004577CE">
            <w:pPr>
              <w:widowControl w:val="0"/>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Частка готівкових коштів у грошовій базі</w:t>
            </w:r>
          </w:p>
          <w:p w:rsidR="004E40C8" w:rsidRPr="00F517D1" w:rsidRDefault="004E40C8" w:rsidP="004577CE">
            <w:pPr>
              <w:widowControl w:val="0"/>
              <w:rPr>
                <w:rFonts w:ascii="Times New Roman" w:hAnsi="Times New Roman" w:cs="Times New Roman"/>
                <w:sz w:val="24"/>
                <w:szCs w:val="24"/>
                <w:lang w:val="uk-UA"/>
              </w:rPr>
            </w:pPr>
            <w:r w:rsidRPr="00D12C32">
              <w:rPr>
                <w:rFonts w:ascii="Times New Roman" w:eastAsia="Times New Roman" w:hAnsi="Times New Roman" w:cs="Times New Roman"/>
                <w:sz w:val="24"/>
                <w:szCs w:val="24"/>
                <w:lang w:val="uk-UA" w:eastAsia="ru-RU"/>
              </w:rPr>
              <w:t>Частка готівкових коштів у ВВП</w:t>
            </w:r>
          </w:p>
        </w:tc>
      </w:tr>
      <w:tr w:rsidR="004E40C8" w:rsidTr="00DF25B5">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tcPr>
          <w:p w:rsidR="004E40C8" w:rsidRPr="00F517D1" w:rsidRDefault="004E40C8" w:rsidP="004577CE">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Обсяги готівкових операцій банків</w:t>
            </w:r>
          </w:p>
        </w:tc>
        <w:tc>
          <w:tcPr>
            <w:tcW w:w="5085" w:type="dxa"/>
            <w:vAlign w:val="center"/>
          </w:tcPr>
          <w:p w:rsidR="004E40C8" w:rsidRDefault="004E40C8" w:rsidP="004577CE">
            <w:pPr>
              <w:widowControl w:val="0"/>
              <w:rPr>
                <w:rFonts w:ascii="Times New Roman" w:eastAsia="Times New Roman" w:hAnsi="Times New Roman" w:cs="Times New Roman"/>
                <w:sz w:val="24"/>
                <w:szCs w:val="24"/>
                <w:lang w:val="uk-UA" w:eastAsia="ru-RU"/>
              </w:rPr>
            </w:pPr>
            <w:r w:rsidRPr="00D12C32">
              <w:rPr>
                <w:rFonts w:ascii="Times New Roman" w:eastAsia="Times New Roman" w:hAnsi="Times New Roman" w:cs="Times New Roman"/>
                <w:sz w:val="24"/>
                <w:szCs w:val="24"/>
                <w:lang w:val="uk-UA" w:eastAsia="ru-RU"/>
              </w:rPr>
              <w:t>Обсяг готівки в банках</w:t>
            </w:r>
          </w:p>
          <w:p w:rsidR="004E40C8" w:rsidRPr="00F517D1" w:rsidRDefault="004E40C8" w:rsidP="004577CE">
            <w:pPr>
              <w:widowControl w:val="0"/>
              <w:rPr>
                <w:rFonts w:ascii="Times New Roman" w:hAnsi="Times New Roman" w:cs="Times New Roman"/>
                <w:sz w:val="24"/>
                <w:szCs w:val="24"/>
                <w:lang w:val="uk-UA"/>
              </w:rPr>
            </w:pPr>
            <w:r w:rsidRPr="00D12C32">
              <w:rPr>
                <w:rFonts w:ascii="Times New Roman" w:eastAsia="Times New Roman" w:hAnsi="Times New Roman" w:cs="Times New Roman"/>
                <w:sz w:val="24"/>
                <w:szCs w:val="24"/>
                <w:lang w:val="uk-UA" w:eastAsia="ru-RU"/>
              </w:rPr>
              <w:t>Частка готівкових операцій банків, в зага</w:t>
            </w:r>
            <w:r>
              <w:rPr>
                <w:rFonts w:ascii="Times New Roman" w:eastAsia="Times New Roman" w:hAnsi="Times New Roman" w:cs="Times New Roman"/>
                <w:sz w:val="24"/>
                <w:szCs w:val="24"/>
                <w:lang w:val="uk-UA" w:eastAsia="ru-RU"/>
              </w:rPr>
              <w:softHyphen/>
            </w:r>
            <w:r w:rsidRPr="00D12C32">
              <w:rPr>
                <w:rFonts w:ascii="Times New Roman" w:eastAsia="Times New Roman" w:hAnsi="Times New Roman" w:cs="Times New Roman"/>
                <w:sz w:val="24"/>
                <w:szCs w:val="24"/>
                <w:lang w:val="uk-UA" w:eastAsia="ru-RU"/>
              </w:rPr>
              <w:t>льному обсязі</w:t>
            </w:r>
          </w:p>
        </w:tc>
      </w:tr>
      <w:tr w:rsidR="004E40C8" w:rsidTr="00DF25B5">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tcPr>
          <w:p w:rsidR="004E40C8" w:rsidRPr="00F517D1" w:rsidRDefault="004E40C8" w:rsidP="004577CE">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анонімних операцій в банках</w:t>
            </w:r>
          </w:p>
        </w:tc>
        <w:tc>
          <w:tcPr>
            <w:tcW w:w="5085" w:type="dxa"/>
            <w:vAlign w:val="center"/>
          </w:tcPr>
          <w:p w:rsidR="004E40C8" w:rsidRPr="00F517D1"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Заборонені в України</w:t>
            </w:r>
          </w:p>
        </w:tc>
      </w:tr>
      <w:tr w:rsidR="004E40C8" w:rsidTr="00DF25B5">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p>
        </w:tc>
        <w:tc>
          <w:tcPr>
            <w:tcW w:w="2359" w:type="dxa"/>
          </w:tcPr>
          <w:p w:rsidR="004E40C8" w:rsidRPr="00F517D1" w:rsidRDefault="004E40C8" w:rsidP="004577CE">
            <w:pPr>
              <w:widowControl w:val="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операцій з криптовалютами</w:t>
            </w:r>
          </w:p>
        </w:tc>
        <w:tc>
          <w:tcPr>
            <w:tcW w:w="5085" w:type="dxa"/>
            <w:vAlign w:val="center"/>
          </w:tcPr>
          <w:p w:rsidR="004E40C8" w:rsidRPr="00F517D1"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Задекларовані громадянами залишки коштів у гаманцях криптовалют</w:t>
            </w:r>
          </w:p>
        </w:tc>
      </w:tr>
      <w:tr w:rsidR="004E40C8" w:rsidTr="00DF25B5">
        <w:trPr>
          <w:cantSplit/>
          <w:trHeight w:val="854"/>
        </w:trPr>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val="restart"/>
            <w:textDirection w:val="btLr"/>
            <w:vAlign w:val="center"/>
          </w:tcPr>
          <w:p w:rsidR="004E40C8" w:rsidRPr="00F517D1" w:rsidRDefault="004E40C8" w:rsidP="004577CE">
            <w:pPr>
              <w:widowControl w:val="0"/>
              <w:ind w:left="113" w:right="113"/>
              <w:jc w:val="center"/>
              <w:rPr>
                <w:rFonts w:ascii="Times New Roman" w:hAnsi="Times New Roman" w:cs="Times New Roman"/>
                <w:sz w:val="24"/>
                <w:szCs w:val="24"/>
                <w:lang w:val="uk-UA"/>
              </w:rPr>
            </w:pPr>
            <w:r>
              <w:rPr>
                <w:rFonts w:ascii="Times New Roman" w:hAnsi="Times New Roman" w:cs="Times New Roman"/>
                <w:sz w:val="24"/>
                <w:szCs w:val="24"/>
                <w:lang w:val="uk-UA"/>
              </w:rPr>
              <w:t>Операції поза межами легальної економіки</w:t>
            </w:r>
          </w:p>
        </w:tc>
        <w:tc>
          <w:tcPr>
            <w:tcW w:w="2359" w:type="dxa"/>
            <w:vAlign w:val="center"/>
          </w:tcPr>
          <w:p w:rsidR="004E40C8"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Обсяги обігу нелега</w:t>
            </w:r>
            <w:r>
              <w:rPr>
                <w:rFonts w:ascii="Times New Roman" w:hAnsi="Times New Roman" w:cs="Times New Roman"/>
                <w:sz w:val="24"/>
                <w:szCs w:val="24"/>
                <w:lang w:val="uk-UA"/>
              </w:rPr>
              <w:softHyphen/>
              <w:t>льних готівкових коштів в країні</w:t>
            </w:r>
          </w:p>
        </w:tc>
        <w:tc>
          <w:tcPr>
            <w:tcW w:w="5085" w:type="dxa"/>
            <w:vAlign w:val="center"/>
          </w:tcPr>
          <w:p w:rsidR="004E40C8" w:rsidRDefault="004E40C8" w:rsidP="004577CE">
            <w:pPr>
              <w:widowControl w:val="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Обсяги нелегальних готівкових коштів</w:t>
            </w:r>
            <w:r w:rsidRPr="00D12C32">
              <w:rPr>
                <w:rFonts w:ascii="Times New Roman" w:eastAsia="Times New Roman" w:hAnsi="Times New Roman" w:cs="Times New Roman"/>
                <w:sz w:val="24"/>
                <w:szCs w:val="24"/>
                <w:lang w:val="uk-UA" w:eastAsia="ru-RU"/>
              </w:rPr>
              <w:t xml:space="preserve"> Частка </w:t>
            </w:r>
            <w:r>
              <w:rPr>
                <w:rFonts w:ascii="Times New Roman" w:eastAsia="Times New Roman" w:hAnsi="Times New Roman" w:cs="Times New Roman"/>
                <w:sz w:val="24"/>
                <w:szCs w:val="24"/>
                <w:lang w:val="uk-UA" w:eastAsia="ru-RU"/>
              </w:rPr>
              <w:t xml:space="preserve">нелегальних </w:t>
            </w:r>
            <w:r w:rsidRPr="00D12C32">
              <w:rPr>
                <w:rFonts w:ascii="Times New Roman" w:eastAsia="Times New Roman" w:hAnsi="Times New Roman" w:cs="Times New Roman"/>
                <w:sz w:val="24"/>
                <w:szCs w:val="24"/>
                <w:lang w:val="uk-UA" w:eastAsia="ru-RU"/>
              </w:rPr>
              <w:t>готівкових коштів у грошовій базі</w:t>
            </w:r>
          </w:p>
          <w:p w:rsidR="004E40C8" w:rsidRPr="00F517D1" w:rsidRDefault="004E40C8" w:rsidP="004577CE">
            <w:pPr>
              <w:widowControl w:val="0"/>
              <w:rPr>
                <w:rFonts w:ascii="Times New Roman" w:hAnsi="Times New Roman" w:cs="Times New Roman"/>
                <w:sz w:val="24"/>
                <w:szCs w:val="24"/>
                <w:lang w:val="uk-UA"/>
              </w:rPr>
            </w:pPr>
            <w:r w:rsidRPr="00D12C32">
              <w:rPr>
                <w:rFonts w:ascii="Times New Roman" w:eastAsia="Times New Roman" w:hAnsi="Times New Roman" w:cs="Times New Roman"/>
                <w:sz w:val="24"/>
                <w:szCs w:val="24"/>
                <w:lang w:val="uk-UA" w:eastAsia="ru-RU"/>
              </w:rPr>
              <w:t xml:space="preserve">Частка </w:t>
            </w:r>
            <w:r>
              <w:rPr>
                <w:rFonts w:ascii="Times New Roman" w:eastAsia="Times New Roman" w:hAnsi="Times New Roman" w:cs="Times New Roman"/>
                <w:sz w:val="24"/>
                <w:szCs w:val="24"/>
                <w:lang w:val="uk-UA" w:eastAsia="ru-RU"/>
              </w:rPr>
              <w:t xml:space="preserve">нелегальних </w:t>
            </w:r>
            <w:r w:rsidRPr="00D12C32">
              <w:rPr>
                <w:rFonts w:ascii="Times New Roman" w:eastAsia="Times New Roman" w:hAnsi="Times New Roman" w:cs="Times New Roman"/>
                <w:sz w:val="24"/>
                <w:szCs w:val="24"/>
                <w:lang w:val="uk-UA" w:eastAsia="ru-RU"/>
              </w:rPr>
              <w:t>готівкових коштів у ВВП</w:t>
            </w:r>
          </w:p>
        </w:tc>
      </w:tr>
      <w:tr w:rsidR="004E40C8" w:rsidTr="00DF25B5">
        <w:trPr>
          <w:cantSplit/>
          <w:trHeight w:val="1134"/>
        </w:trPr>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textDirection w:val="btLr"/>
          </w:tcPr>
          <w:p w:rsidR="004E40C8" w:rsidRDefault="004E40C8" w:rsidP="004577CE">
            <w:pPr>
              <w:widowControl w:val="0"/>
              <w:ind w:left="113" w:right="113"/>
              <w:jc w:val="both"/>
              <w:rPr>
                <w:rFonts w:ascii="Times New Roman" w:hAnsi="Times New Roman" w:cs="Times New Roman"/>
                <w:sz w:val="24"/>
                <w:szCs w:val="24"/>
                <w:lang w:val="uk-UA"/>
              </w:rPr>
            </w:pPr>
          </w:p>
        </w:tc>
        <w:tc>
          <w:tcPr>
            <w:tcW w:w="2359" w:type="dxa"/>
            <w:vAlign w:val="center"/>
          </w:tcPr>
          <w:p w:rsidR="004E40C8"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Обсяги готівкових операцій з нелегаль</w:t>
            </w:r>
            <w:r>
              <w:rPr>
                <w:rFonts w:ascii="Times New Roman" w:hAnsi="Times New Roman" w:cs="Times New Roman"/>
                <w:sz w:val="24"/>
                <w:szCs w:val="24"/>
                <w:lang w:val="uk-UA"/>
              </w:rPr>
              <w:softHyphen/>
              <w:t>ними коштами в країні</w:t>
            </w:r>
          </w:p>
        </w:tc>
        <w:tc>
          <w:tcPr>
            <w:tcW w:w="5085" w:type="dxa"/>
            <w:vAlign w:val="center"/>
          </w:tcPr>
          <w:p w:rsidR="004E40C8" w:rsidRDefault="004E40C8" w:rsidP="004577CE">
            <w:pPr>
              <w:widowContro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Співвідношення операцій з нелегальними </w:t>
            </w:r>
            <w:r w:rsidRPr="00D12C32">
              <w:rPr>
                <w:rFonts w:ascii="Times New Roman" w:eastAsia="Times New Roman" w:hAnsi="Times New Roman" w:cs="Times New Roman"/>
                <w:sz w:val="24"/>
                <w:szCs w:val="24"/>
                <w:lang w:val="uk-UA" w:eastAsia="ru-RU"/>
              </w:rPr>
              <w:t>готівкови</w:t>
            </w:r>
            <w:r>
              <w:rPr>
                <w:rFonts w:ascii="Times New Roman" w:eastAsia="Times New Roman" w:hAnsi="Times New Roman" w:cs="Times New Roman"/>
                <w:sz w:val="24"/>
                <w:szCs w:val="24"/>
                <w:lang w:val="uk-UA" w:eastAsia="ru-RU"/>
              </w:rPr>
              <w:t>ми</w:t>
            </w:r>
            <w:r w:rsidRPr="00D12C32">
              <w:rPr>
                <w:rFonts w:ascii="Times New Roman" w:eastAsia="Times New Roman" w:hAnsi="Times New Roman" w:cs="Times New Roman"/>
                <w:sz w:val="24"/>
                <w:szCs w:val="24"/>
                <w:lang w:val="uk-UA" w:eastAsia="ru-RU"/>
              </w:rPr>
              <w:t xml:space="preserve"> кошт</w:t>
            </w:r>
            <w:r>
              <w:rPr>
                <w:rFonts w:ascii="Times New Roman" w:eastAsia="Times New Roman" w:hAnsi="Times New Roman" w:cs="Times New Roman"/>
                <w:sz w:val="24"/>
                <w:szCs w:val="24"/>
                <w:lang w:val="uk-UA" w:eastAsia="ru-RU"/>
              </w:rPr>
              <w:t>ами</w:t>
            </w:r>
            <w:r w:rsidRPr="00D12C3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та о</w:t>
            </w:r>
            <w:r w:rsidRPr="00D12C32">
              <w:rPr>
                <w:rFonts w:ascii="Times New Roman" w:eastAsia="Times New Roman" w:hAnsi="Times New Roman" w:cs="Times New Roman"/>
                <w:sz w:val="24"/>
                <w:szCs w:val="24"/>
                <w:lang w:val="uk-UA" w:eastAsia="ru-RU"/>
              </w:rPr>
              <w:t>бсяг</w:t>
            </w:r>
            <w:r>
              <w:rPr>
                <w:rFonts w:ascii="Times New Roman" w:eastAsia="Times New Roman" w:hAnsi="Times New Roman" w:cs="Times New Roman"/>
                <w:sz w:val="24"/>
                <w:szCs w:val="24"/>
                <w:lang w:val="uk-UA" w:eastAsia="ru-RU"/>
              </w:rPr>
              <w:t>ів</w:t>
            </w:r>
            <w:r w:rsidRPr="00D12C32">
              <w:rPr>
                <w:rFonts w:ascii="Times New Roman" w:eastAsia="Times New Roman" w:hAnsi="Times New Roman" w:cs="Times New Roman"/>
                <w:sz w:val="24"/>
                <w:szCs w:val="24"/>
                <w:lang w:val="uk-UA" w:eastAsia="ru-RU"/>
              </w:rPr>
              <w:t xml:space="preserve"> готівки в банках</w:t>
            </w:r>
          </w:p>
          <w:p w:rsidR="002A627C" w:rsidRDefault="002A627C" w:rsidP="004577CE">
            <w:pPr>
              <w:widowContro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Співвідношення операцій з нелегальними </w:t>
            </w:r>
            <w:r w:rsidRPr="00D12C32">
              <w:rPr>
                <w:rFonts w:ascii="Times New Roman" w:eastAsia="Times New Roman" w:hAnsi="Times New Roman" w:cs="Times New Roman"/>
                <w:sz w:val="24"/>
                <w:szCs w:val="24"/>
                <w:lang w:val="uk-UA" w:eastAsia="ru-RU"/>
              </w:rPr>
              <w:t>готівкови</w:t>
            </w:r>
            <w:r>
              <w:rPr>
                <w:rFonts w:ascii="Times New Roman" w:eastAsia="Times New Roman" w:hAnsi="Times New Roman" w:cs="Times New Roman"/>
                <w:sz w:val="24"/>
                <w:szCs w:val="24"/>
                <w:lang w:val="uk-UA" w:eastAsia="ru-RU"/>
              </w:rPr>
              <w:t>ми</w:t>
            </w:r>
            <w:r w:rsidRPr="00D12C32">
              <w:rPr>
                <w:rFonts w:ascii="Times New Roman" w:eastAsia="Times New Roman" w:hAnsi="Times New Roman" w:cs="Times New Roman"/>
                <w:sz w:val="24"/>
                <w:szCs w:val="24"/>
                <w:lang w:val="uk-UA" w:eastAsia="ru-RU"/>
              </w:rPr>
              <w:t xml:space="preserve"> кошт</w:t>
            </w:r>
            <w:r>
              <w:rPr>
                <w:rFonts w:ascii="Times New Roman" w:eastAsia="Times New Roman" w:hAnsi="Times New Roman" w:cs="Times New Roman"/>
                <w:sz w:val="24"/>
                <w:szCs w:val="24"/>
                <w:lang w:val="uk-UA" w:eastAsia="ru-RU"/>
              </w:rPr>
              <w:t>ами</w:t>
            </w:r>
            <w:r w:rsidRPr="00D12C3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та о</w:t>
            </w:r>
            <w:r w:rsidRPr="00D12C32">
              <w:rPr>
                <w:rFonts w:ascii="Times New Roman" w:eastAsia="Times New Roman" w:hAnsi="Times New Roman" w:cs="Times New Roman"/>
                <w:sz w:val="24"/>
                <w:szCs w:val="24"/>
                <w:lang w:val="uk-UA" w:eastAsia="ru-RU"/>
              </w:rPr>
              <w:t>бсяг</w:t>
            </w:r>
            <w:r>
              <w:rPr>
                <w:rFonts w:ascii="Times New Roman" w:eastAsia="Times New Roman" w:hAnsi="Times New Roman" w:cs="Times New Roman"/>
                <w:sz w:val="24"/>
                <w:szCs w:val="24"/>
                <w:lang w:val="uk-UA" w:eastAsia="ru-RU"/>
              </w:rPr>
              <w:t>ів грошової бази країни</w:t>
            </w:r>
          </w:p>
          <w:p w:rsidR="004E40C8" w:rsidRPr="00F517D1" w:rsidRDefault="002A627C" w:rsidP="004577CE">
            <w:pPr>
              <w:widowControl w:val="0"/>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Співвідношення операцій з нелегальними </w:t>
            </w:r>
            <w:r w:rsidRPr="00D12C32">
              <w:rPr>
                <w:rFonts w:ascii="Times New Roman" w:eastAsia="Times New Roman" w:hAnsi="Times New Roman" w:cs="Times New Roman"/>
                <w:sz w:val="24"/>
                <w:szCs w:val="24"/>
                <w:lang w:val="uk-UA" w:eastAsia="ru-RU"/>
              </w:rPr>
              <w:t>готівкови</w:t>
            </w:r>
            <w:r>
              <w:rPr>
                <w:rFonts w:ascii="Times New Roman" w:eastAsia="Times New Roman" w:hAnsi="Times New Roman" w:cs="Times New Roman"/>
                <w:sz w:val="24"/>
                <w:szCs w:val="24"/>
                <w:lang w:val="uk-UA" w:eastAsia="ru-RU"/>
              </w:rPr>
              <w:t>ми</w:t>
            </w:r>
            <w:r w:rsidRPr="00D12C3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коштами, про які відомо контролюючим органам, та </w:t>
            </w:r>
            <w:r w:rsidR="004E40C8" w:rsidRPr="00D12C32">
              <w:rPr>
                <w:rFonts w:ascii="Times New Roman" w:eastAsia="Times New Roman" w:hAnsi="Times New Roman" w:cs="Times New Roman"/>
                <w:sz w:val="24"/>
                <w:szCs w:val="24"/>
                <w:lang w:val="uk-UA" w:eastAsia="ru-RU"/>
              </w:rPr>
              <w:t>ВВП</w:t>
            </w:r>
          </w:p>
        </w:tc>
      </w:tr>
      <w:tr w:rsidR="004E40C8" w:rsidTr="00DF25B5">
        <w:trPr>
          <w:cantSplit/>
          <w:trHeight w:val="551"/>
        </w:trPr>
        <w:tc>
          <w:tcPr>
            <w:tcW w:w="1242" w:type="dxa"/>
            <w:vMerge/>
          </w:tcPr>
          <w:p w:rsidR="004E40C8" w:rsidRPr="00F517D1" w:rsidRDefault="004E40C8" w:rsidP="004577CE">
            <w:pPr>
              <w:widowControl w:val="0"/>
              <w:jc w:val="both"/>
              <w:rPr>
                <w:rFonts w:ascii="Times New Roman" w:hAnsi="Times New Roman" w:cs="Times New Roman"/>
                <w:sz w:val="24"/>
                <w:szCs w:val="24"/>
                <w:lang w:val="uk-UA"/>
              </w:rPr>
            </w:pPr>
          </w:p>
        </w:tc>
        <w:tc>
          <w:tcPr>
            <w:tcW w:w="1232" w:type="dxa"/>
            <w:vMerge/>
            <w:textDirection w:val="btLr"/>
          </w:tcPr>
          <w:p w:rsidR="004E40C8" w:rsidRDefault="004E40C8" w:rsidP="004577CE">
            <w:pPr>
              <w:widowControl w:val="0"/>
              <w:ind w:left="113" w:right="113"/>
              <w:jc w:val="both"/>
              <w:rPr>
                <w:rFonts w:ascii="Times New Roman" w:hAnsi="Times New Roman" w:cs="Times New Roman"/>
                <w:sz w:val="24"/>
                <w:szCs w:val="24"/>
                <w:lang w:val="uk-UA"/>
              </w:rPr>
            </w:pPr>
          </w:p>
        </w:tc>
        <w:tc>
          <w:tcPr>
            <w:tcW w:w="2359" w:type="dxa"/>
            <w:vAlign w:val="center"/>
          </w:tcPr>
          <w:p w:rsidR="004E40C8"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Наявність операцій з криптовалютами</w:t>
            </w:r>
          </w:p>
        </w:tc>
        <w:tc>
          <w:tcPr>
            <w:tcW w:w="5085" w:type="dxa"/>
            <w:vAlign w:val="center"/>
          </w:tcPr>
          <w:p w:rsidR="004E40C8" w:rsidRPr="00F517D1" w:rsidRDefault="004E40C8" w:rsidP="004577CE">
            <w:pPr>
              <w:widowControl w:val="0"/>
              <w:rPr>
                <w:rFonts w:ascii="Times New Roman" w:hAnsi="Times New Roman" w:cs="Times New Roman"/>
                <w:sz w:val="24"/>
                <w:szCs w:val="24"/>
                <w:lang w:val="uk-UA"/>
              </w:rPr>
            </w:pPr>
            <w:r>
              <w:rPr>
                <w:rFonts w:ascii="Times New Roman" w:hAnsi="Times New Roman" w:cs="Times New Roman"/>
                <w:sz w:val="24"/>
                <w:szCs w:val="24"/>
                <w:lang w:val="uk-UA"/>
              </w:rPr>
              <w:t>Незадекларовані громадянами залишки коштів у гаманцях криптовалют</w:t>
            </w:r>
          </w:p>
        </w:tc>
      </w:tr>
    </w:tbl>
    <w:p w:rsidR="004E40C8" w:rsidRDefault="004E40C8" w:rsidP="004577CE">
      <w:pPr>
        <w:widowControl w:val="0"/>
      </w:pPr>
    </w:p>
    <w:p w:rsidR="001A22FA" w:rsidRDefault="00E52D44"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 xml:space="preserve">Дані табл. 7 показують, що </w:t>
      </w:r>
      <w:r w:rsidR="009B6207">
        <w:rPr>
          <w:rFonts w:ascii="Times New Roman" w:hAnsi="Times New Roman" w:cs="Times New Roman"/>
          <w:lang w:val="uk-UA"/>
        </w:rPr>
        <w:t>окрім визначених звітами і стандартами ФАТФ трьох груп факторів відмивання коштів та фінансування тероризму</w:t>
      </w:r>
      <w:r w:rsidR="004E3918">
        <w:rPr>
          <w:rFonts w:ascii="Times New Roman" w:hAnsi="Times New Roman" w:cs="Times New Roman"/>
          <w:lang w:val="uk-UA"/>
        </w:rPr>
        <w:t xml:space="preserve"> слід виділити такі підгрупи: економічні, політичні та нормативно-правові у групі факторів країни; фактори, пов’язані з юридичними особами, і фактори, пов’язані з фізичними особами у складі клієнтських факторів; операції в межах легальної </w:t>
      </w:r>
      <w:r w:rsidR="004E3918" w:rsidRPr="00BC42CC">
        <w:rPr>
          <w:rFonts w:ascii="Times New Roman" w:hAnsi="Times New Roman" w:cs="Times New Roman"/>
          <w:lang w:val="uk-UA"/>
        </w:rPr>
        <w:t xml:space="preserve">економіки та операції поза її межами. </w:t>
      </w:r>
      <w:r w:rsidR="00BC42CC" w:rsidRPr="00BC42CC">
        <w:rPr>
          <w:rFonts w:ascii="Times New Roman" w:hAnsi="Times New Roman" w:cs="Times New Roman"/>
          <w:lang w:val="uk-UA"/>
        </w:rPr>
        <w:t>Серед показників, за допомогою яких можна оцінити та проаналізувати фактори легалізації злочинних доходів, є як узагальнені індикатори (індекси) – Індекс якості державного управління, Індекс сприйняття корупції, Індекс нестабільності країни, Індекс верховенства права, Індекс фінансової прозорості, Базельський індекс протидії відмиванню грошей, так і часткові абсолютні й відносні показники, як то:</w:t>
      </w:r>
      <w:r w:rsidR="00BC42CC">
        <w:rPr>
          <w:rFonts w:ascii="Times New Roman" w:hAnsi="Times New Roman" w:cs="Times New Roman"/>
          <w:lang w:val="uk-UA"/>
        </w:rPr>
        <w:t xml:space="preserve"> </w:t>
      </w:r>
      <w:r w:rsidR="001A22FA">
        <w:rPr>
          <w:rFonts w:ascii="Times New Roman" w:hAnsi="Times New Roman" w:cs="Times New Roman"/>
          <w:lang w:val="uk-UA"/>
        </w:rPr>
        <w:t>г</w:t>
      </w:r>
      <w:r w:rsidR="00BC42CC" w:rsidRPr="00BC42CC">
        <w:rPr>
          <w:rFonts w:ascii="Times New Roman" w:hAnsi="Times New Roman" w:cs="Times New Roman"/>
          <w:lang w:val="uk-UA"/>
        </w:rPr>
        <w:t>отівкові кошти, випущені в обіг</w:t>
      </w:r>
      <w:r w:rsidR="001A22FA">
        <w:rPr>
          <w:rFonts w:ascii="Times New Roman" w:hAnsi="Times New Roman" w:cs="Times New Roman"/>
          <w:lang w:val="uk-UA"/>
        </w:rPr>
        <w:t xml:space="preserve">, </w:t>
      </w:r>
      <w:r w:rsidR="001A22FA">
        <w:rPr>
          <w:rFonts w:ascii="Times New Roman" w:hAnsi="Times New Roman" w:cs="Times New Roman"/>
          <w:lang w:val="uk-UA"/>
        </w:rPr>
        <w:lastRenderedPageBreak/>
        <w:t>ч</w:t>
      </w:r>
      <w:r w:rsidR="00BC42CC" w:rsidRPr="00BC42CC">
        <w:rPr>
          <w:rFonts w:ascii="Times New Roman" w:hAnsi="Times New Roman" w:cs="Times New Roman"/>
          <w:lang w:val="uk-UA"/>
        </w:rPr>
        <w:t>астка готівкових коштів у грошовій базі</w:t>
      </w:r>
      <w:r w:rsidR="001A22FA">
        <w:rPr>
          <w:rFonts w:ascii="Times New Roman" w:hAnsi="Times New Roman" w:cs="Times New Roman"/>
          <w:lang w:val="uk-UA"/>
        </w:rPr>
        <w:t>, ч</w:t>
      </w:r>
      <w:r w:rsidR="00BC42CC" w:rsidRPr="00BC42CC">
        <w:rPr>
          <w:rFonts w:ascii="Times New Roman" w:hAnsi="Times New Roman" w:cs="Times New Roman"/>
          <w:lang w:val="uk-UA"/>
        </w:rPr>
        <w:t>астка готівкових коштів у ВВП</w:t>
      </w:r>
      <w:r w:rsidR="001A22FA">
        <w:rPr>
          <w:rFonts w:ascii="Times New Roman" w:hAnsi="Times New Roman" w:cs="Times New Roman"/>
          <w:lang w:val="uk-UA"/>
        </w:rPr>
        <w:t>, о</w:t>
      </w:r>
      <w:r w:rsidR="001A22FA" w:rsidRPr="001A22FA">
        <w:rPr>
          <w:rFonts w:ascii="Times New Roman" w:hAnsi="Times New Roman" w:cs="Times New Roman"/>
          <w:lang w:val="uk-UA"/>
        </w:rPr>
        <w:t>бсяги тіньової економіки</w:t>
      </w:r>
      <w:r w:rsidR="001A22FA">
        <w:rPr>
          <w:rFonts w:ascii="Times New Roman" w:hAnsi="Times New Roman" w:cs="Times New Roman"/>
          <w:lang w:val="uk-UA"/>
        </w:rPr>
        <w:t>, с</w:t>
      </w:r>
      <w:r w:rsidR="001A22FA" w:rsidRPr="001A22FA">
        <w:rPr>
          <w:rFonts w:ascii="Times New Roman" w:hAnsi="Times New Roman" w:cs="Times New Roman"/>
          <w:lang w:val="uk-UA"/>
        </w:rPr>
        <w:t>ередньомісячна заробітна плата «у конвертах»</w:t>
      </w:r>
      <w:r w:rsidR="001A22FA">
        <w:rPr>
          <w:rFonts w:ascii="Times New Roman" w:hAnsi="Times New Roman" w:cs="Times New Roman"/>
          <w:lang w:val="uk-UA"/>
        </w:rPr>
        <w:t>, р</w:t>
      </w:r>
      <w:r w:rsidR="001A22FA" w:rsidRPr="001A22FA">
        <w:rPr>
          <w:rFonts w:ascii="Times New Roman" w:hAnsi="Times New Roman" w:cs="Times New Roman"/>
          <w:lang w:val="uk-UA"/>
        </w:rPr>
        <w:t>івень тіньової економіки: відсоток від ВВП</w:t>
      </w:r>
      <w:r w:rsidR="001A22FA">
        <w:rPr>
          <w:rFonts w:ascii="Times New Roman" w:hAnsi="Times New Roman" w:cs="Times New Roman"/>
          <w:lang w:val="uk-UA"/>
        </w:rPr>
        <w:t xml:space="preserve"> тощо. </w:t>
      </w:r>
    </w:p>
    <w:p w:rsidR="001A22FA" w:rsidRDefault="001A22FA" w:rsidP="004577CE">
      <w:pPr>
        <w:widowControl w:val="0"/>
        <w:spacing w:line="360" w:lineRule="auto"/>
        <w:ind w:firstLine="709"/>
        <w:jc w:val="both"/>
        <w:rPr>
          <w:rFonts w:ascii="Times New Roman" w:hAnsi="Times New Roman" w:cs="Times New Roman"/>
          <w:lang w:val="uk-UA"/>
        </w:rPr>
      </w:pPr>
      <w:r>
        <w:rPr>
          <w:rFonts w:ascii="Times New Roman" w:hAnsi="Times New Roman" w:cs="Times New Roman"/>
          <w:lang w:val="uk-UA"/>
        </w:rPr>
        <w:t>Аналіз фактичних даних, зазначених у табл. 7 показників показав, що Україна належить до групи країн з підвищеним ризиком відмивання коштів та фінансування тероризму</w:t>
      </w:r>
      <w:r w:rsidR="00B72ED1">
        <w:rPr>
          <w:rFonts w:ascii="Times New Roman" w:hAnsi="Times New Roman" w:cs="Times New Roman"/>
          <w:lang w:val="uk-UA"/>
        </w:rPr>
        <w:t>:</w:t>
      </w:r>
      <w:r>
        <w:rPr>
          <w:rFonts w:ascii="Times New Roman" w:hAnsi="Times New Roman" w:cs="Times New Roman"/>
          <w:lang w:val="uk-UA"/>
        </w:rPr>
        <w:t xml:space="preserve"> економіка характеризується високим рівнем тінізації, </w:t>
      </w:r>
      <w:r w:rsidR="00B72ED1">
        <w:rPr>
          <w:rFonts w:ascii="Times New Roman" w:hAnsi="Times New Roman" w:cs="Times New Roman"/>
          <w:lang w:val="uk-UA"/>
        </w:rPr>
        <w:t>дуже високим відсотком готівки в обігу та готівкових операцій банків, низьким рівнем доходів населення, значною кількістю і участю чиновників в економічних процесах.</w:t>
      </w:r>
      <w:r w:rsidR="00410D62">
        <w:rPr>
          <w:rFonts w:ascii="Times New Roman" w:hAnsi="Times New Roman" w:cs="Times New Roman"/>
          <w:lang w:val="uk-UA"/>
        </w:rPr>
        <w:t xml:space="preserve"> Основними рекомендаціями, що доцільно впровадити </w:t>
      </w:r>
      <w:r w:rsidR="0021259A">
        <w:rPr>
          <w:rFonts w:ascii="Times New Roman" w:hAnsi="Times New Roman" w:cs="Times New Roman"/>
          <w:lang w:val="uk-UA"/>
        </w:rPr>
        <w:t xml:space="preserve">в Україні </w:t>
      </w:r>
      <w:r w:rsidR="00410D62">
        <w:rPr>
          <w:rFonts w:ascii="Times New Roman" w:hAnsi="Times New Roman" w:cs="Times New Roman"/>
          <w:lang w:val="uk-UA"/>
        </w:rPr>
        <w:t>для зниження рівня ризику ВК/ФТ є: заборона здійснення транзакцій з країнами та резидентами країн, Базельський індекс протидії відмиванню грошей яких має найвищі значення (понад 7,5 з максимально можливих 10);</w:t>
      </w:r>
      <w:r w:rsidR="0021259A">
        <w:rPr>
          <w:rFonts w:ascii="Times New Roman" w:hAnsi="Times New Roman" w:cs="Times New Roman"/>
          <w:lang w:val="uk-UA"/>
        </w:rPr>
        <w:t xml:space="preserve"> встановити високі штрафи для банків у разі виявлення здійснення ними операцій з клієнтів, які за визначеними ознаками, слід віднести до </w:t>
      </w:r>
      <w:proofErr w:type="spellStart"/>
      <w:r w:rsidR="0021259A">
        <w:rPr>
          <w:rFonts w:ascii="Times New Roman" w:hAnsi="Times New Roman" w:cs="Times New Roman"/>
          <w:lang w:val="uk-UA"/>
        </w:rPr>
        <w:t>високоризикованих</w:t>
      </w:r>
      <w:proofErr w:type="spellEnd"/>
      <w:r w:rsidR="0021259A">
        <w:rPr>
          <w:rFonts w:ascii="Times New Roman" w:hAnsi="Times New Roman" w:cs="Times New Roman"/>
          <w:lang w:val="uk-UA"/>
        </w:rPr>
        <w:t xml:space="preserve"> з точки зору ВКФТ, законодавчо закріпити застосування заходу відкликання ліцензії банків у разі систематичного порушення банківської установою діючого законодавства щодо фінансового моніторингу.</w:t>
      </w:r>
    </w:p>
    <w:p w:rsidR="002D104E" w:rsidRPr="002D104E" w:rsidRDefault="002D104E" w:rsidP="004577CE">
      <w:pPr>
        <w:widowControl w:val="0"/>
        <w:spacing w:line="360" w:lineRule="auto"/>
        <w:ind w:firstLine="709"/>
        <w:jc w:val="both"/>
        <w:rPr>
          <w:rFonts w:ascii="Times New Roman" w:hAnsi="Times New Roman" w:cs="Times New Roman"/>
          <w:lang w:val="en-US"/>
        </w:rPr>
      </w:pPr>
      <w:r>
        <w:rPr>
          <w:rFonts w:ascii="Times New Roman" w:hAnsi="Times New Roman" w:cs="Times New Roman"/>
          <w:lang w:val="en-US"/>
        </w:rPr>
        <w:t>References:</w:t>
      </w:r>
    </w:p>
    <w:p w:rsidR="00A01BE6" w:rsidRPr="00DF25B5" w:rsidRDefault="00CD3C22" w:rsidP="00B90667">
      <w:pPr>
        <w:pStyle w:val="a3"/>
        <w:widowControl w:val="0"/>
        <w:numPr>
          <w:ilvl w:val="0"/>
          <w:numId w:val="3"/>
        </w:numPr>
        <w:tabs>
          <w:tab w:val="left" w:pos="993"/>
        </w:tabs>
        <w:spacing w:line="360" w:lineRule="auto"/>
        <w:ind w:left="0" w:firstLine="709"/>
        <w:jc w:val="both"/>
        <w:rPr>
          <w:rStyle w:val="a4"/>
          <w:rFonts w:ascii="Times New Roman" w:hAnsi="Times New Roman" w:cs="Times New Roman"/>
          <w:color w:val="auto"/>
          <w:u w:val="none"/>
          <w:lang w:val="uk-UA"/>
        </w:rPr>
      </w:pPr>
      <w:bookmarkStart w:id="0" w:name="_Ref503799445"/>
      <w:r w:rsidRPr="00DF25B5">
        <w:rPr>
          <w:rFonts w:ascii="Times New Roman" w:hAnsi="Times New Roman" w:cs="Times New Roman"/>
          <w:lang w:val="uk-UA"/>
        </w:rPr>
        <w:t xml:space="preserve">FATF </w:t>
      </w:r>
      <w:proofErr w:type="spellStart"/>
      <w:r w:rsidRPr="00DF25B5">
        <w:rPr>
          <w:rFonts w:ascii="Times New Roman" w:hAnsi="Times New Roman" w:cs="Times New Roman"/>
          <w:lang w:val="uk-UA"/>
        </w:rPr>
        <w:t>Repo</w:t>
      </w:r>
      <w:proofErr w:type="spellEnd"/>
      <w:r w:rsidR="00F84C8A" w:rsidRPr="00DF25B5">
        <w:rPr>
          <w:rFonts w:ascii="Times New Roman" w:hAnsi="Times New Roman" w:cs="Times New Roman"/>
          <w:lang w:val="en-US"/>
        </w:rPr>
        <w:t>r</w:t>
      </w:r>
      <w:r w:rsidRPr="00DF25B5">
        <w:rPr>
          <w:rFonts w:ascii="Times New Roman" w:hAnsi="Times New Roman" w:cs="Times New Roman"/>
          <w:lang w:val="uk-UA"/>
        </w:rPr>
        <w:t xml:space="preserve">t. </w:t>
      </w:r>
      <w:proofErr w:type="spellStart"/>
      <w:r w:rsidR="00E53521" w:rsidRPr="00DF25B5">
        <w:rPr>
          <w:rFonts w:ascii="Times New Roman" w:hAnsi="Times New Roman" w:cs="Times New Roman"/>
          <w:lang w:val="uk-UA"/>
        </w:rPr>
        <w:t>Specific</w:t>
      </w:r>
      <w:proofErr w:type="spellEnd"/>
      <w:r w:rsidR="00E53521" w:rsidRPr="00DF25B5">
        <w:rPr>
          <w:rFonts w:ascii="Times New Roman" w:hAnsi="Times New Roman" w:cs="Times New Roman"/>
          <w:lang w:val="uk-UA"/>
        </w:rPr>
        <w:t xml:space="preserve"> </w:t>
      </w:r>
      <w:proofErr w:type="spellStart"/>
      <w:r w:rsidR="00E53521" w:rsidRPr="00DF25B5">
        <w:rPr>
          <w:rFonts w:ascii="Times New Roman" w:hAnsi="Times New Roman" w:cs="Times New Roman"/>
          <w:lang w:val="uk-UA"/>
        </w:rPr>
        <w:t>Risk</w:t>
      </w:r>
      <w:proofErr w:type="spellEnd"/>
      <w:r w:rsidR="00E53521" w:rsidRPr="00DF25B5">
        <w:rPr>
          <w:rFonts w:ascii="Times New Roman" w:hAnsi="Times New Roman" w:cs="Times New Roman"/>
          <w:lang w:val="uk-UA"/>
        </w:rPr>
        <w:t xml:space="preserve"> </w:t>
      </w:r>
      <w:proofErr w:type="spellStart"/>
      <w:r w:rsidR="00E53521" w:rsidRPr="00DF25B5">
        <w:rPr>
          <w:rFonts w:ascii="Times New Roman" w:hAnsi="Times New Roman" w:cs="Times New Roman"/>
          <w:lang w:val="uk-UA"/>
        </w:rPr>
        <w:t>Factors</w:t>
      </w:r>
      <w:proofErr w:type="spellEnd"/>
      <w:r w:rsidR="00E53521" w:rsidRPr="00DF25B5">
        <w:rPr>
          <w:rFonts w:ascii="Times New Roman" w:hAnsi="Times New Roman" w:cs="Times New Roman"/>
          <w:lang w:val="uk-UA"/>
        </w:rPr>
        <w:t xml:space="preserve"> </w:t>
      </w:r>
      <w:proofErr w:type="spellStart"/>
      <w:r w:rsidR="00E53521" w:rsidRPr="00DF25B5">
        <w:rPr>
          <w:rFonts w:ascii="Times New Roman" w:hAnsi="Times New Roman" w:cs="Times New Roman"/>
          <w:lang w:val="uk-UA"/>
        </w:rPr>
        <w:t>in</w:t>
      </w:r>
      <w:proofErr w:type="spellEnd"/>
      <w:r w:rsidR="00E53521" w:rsidRPr="00DF25B5">
        <w:rPr>
          <w:rFonts w:ascii="Times New Roman" w:hAnsi="Times New Roman" w:cs="Times New Roman"/>
          <w:lang w:val="uk-UA"/>
        </w:rPr>
        <w:t xml:space="preserve"> </w:t>
      </w:r>
      <w:proofErr w:type="spellStart"/>
      <w:r w:rsidR="00E53521" w:rsidRPr="00DF25B5">
        <w:rPr>
          <w:rFonts w:ascii="Times New Roman" w:hAnsi="Times New Roman" w:cs="Times New Roman"/>
          <w:lang w:val="uk-UA"/>
        </w:rPr>
        <w:t>the</w:t>
      </w:r>
      <w:proofErr w:type="spellEnd"/>
      <w:r w:rsidR="00E53521" w:rsidRPr="00DF25B5">
        <w:rPr>
          <w:rFonts w:ascii="Times New Roman" w:hAnsi="Times New Roman" w:cs="Times New Roman"/>
          <w:lang w:val="uk-UA"/>
        </w:rPr>
        <w:t xml:space="preserve"> </w:t>
      </w:r>
      <w:proofErr w:type="spellStart"/>
      <w:r w:rsidR="00E53521" w:rsidRPr="00DF25B5">
        <w:rPr>
          <w:rFonts w:ascii="Times New Roman" w:hAnsi="Times New Roman" w:cs="Times New Roman"/>
          <w:lang w:val="uk-UA"/>
        </w:rPr>
        <w:t>Launderi</w:t>
      </w:r>
      <w:r w:rsidR="001757EC" w:rsidRPr="00DF25B5">
        <w:rPr>
          <w:rFonts w:ascii="Times New Roman" w:hAnsi="Times New Roman" w:cs="Times New Roman"/>
          <w:lang w:val="uk-UA"/>
        </w:rPr>
        <w:t>ng</w:t>
      </w:r>
      <w:proofErr w:type="spellEnd"/>
      <w:r w:rsidR="001757EC" w:rsidRPr="00DF25B5">
        <w:rPr>
          <w:rFonts w:ascii="Times New Roman" w:hAnsi="Times New Roman" w:cs="Times New Roman"/>
          <w:lang w:val="uk-UA"/>
        </w:rPr>
        <w:t xml:space="preserve"> </w:t>
      </w:r>
      <w:proofErr w:type="spellStart"/>
      <w:r w:rsidR="001757EC" w:rsidRPr="00DF25B5">
        <w:rPr>
          <w:rFonts w:ascii="Times New Roman" w:hAnsi="Times New Roman" w:cs="Times New Roman"/>
          <w:lang w:val="uk-UA"/>
        </w:rPr>
        <w:t>of</w:t>
      </w:r>
      <w:proofErr w:type="spellEnd"/>
      <w:r w:rsidR="001757EC" w:rsidRPr="00DF25B5">
        <w:rPr>
          <w:rFonts w:ascii="Times New Roman" w:hAnsi="Times New Roman" w:cs="Times New Roman"/>
          <w:lang w:val="uk-UA"/>
        </w:rPr>
        <w:t xml:space="preserve"> </w:t>
      </w:r>
      <w:proofErr w:type="spellStart"/>
      <w:r w:rsidR="001757EC" w:rsidRPr="00DF25B5">
        <w:rPr>
          <w:rFonts w:ascii="Times New Roman" w:hAnsi="Times New Roman" w:cs="Times New Roman"/>
          <w:lang w:val="uk-UA"/>
        </w:rPr>
        <w:t>Proceeds</w:t>
      </w:r>
      <w:proofErr w:type="spellEnd"/>
      <w:r w:rsidR="001757EC" w:rsidRPr="00DF25B5">
        <w:rPr>
          <w:rFonts w:ascii="Times New Roman" w:hAnsi="Times New Roman" w:cs="Times New Roman"/>
          <w:lang w:val="uk-UA"/>
        </w:rPr>
        <w:t xml:space="preserve"> </w:t>
      </w:r>
      <w:proofErr w:type="spellStart"/>
      <w:r w:rsidR="001757EC" w:rsidRPr="00DF25B5">
        <w:rPr>
          <w:rFonts w:ascii="Times New Roman" w:hAnsi="Times New Roman" w:cs="Times New Roman"/>
          <w:lang w:val="uk-UA"/>
        </w:rPr>
        <w:t>of</w:t>
      </w:r>
      <w:proofErr w:type="spellEnd"/>
      <w:r w:rsidR="001757EC" w:rsidRPr="00DF25B5">
        <w:rPr>
          <w:rFonts w:ascii="Times New Roman" w:hAnsi="Times New Roman" w:cs="Times New Roman"/>
          <w:lang w:val="uk-UA"/>
        </w:rPr>
        <w:t xml:space="preserve"> </w:t>
      </w:r>
      <w:proofErr w:type="spellStart"/>
      <w:r w:rsidR="001757EC" w:rsidRPr="00DF25B5">
        <w:rPr>
          <w:rFonts w:ascii="Times New Roman" w:hAnsi="Times New Roman" w:cs="Times New Roman"/>
          <w:lang w:val="uk-UA"/>
        </w:rPr>
        <w:t>Corruption</w:t>
      </w:r>
      <w:proofErr w:type="spellEnd"/>
      <w:r w:rsidR="00E53521" w:rsidRPr="00DF25B5">
        <w:rPr>
          <w:rFonts w:ascii="Times New Roman" w:hAnsi="Times New Roman" w:cs="Times New Roman"/>
          <w:lang w:val="uk-UA"/>
        </w:rPr>
        <w:t>:</w:t>
      </w:r>
      <w:r w:rsidR="001757EC" w:rsidRPr="00DF25B5">
        <w:rPr>
          <w:rFonts w:ascii="Times New Roman" w:hAnsi="Times New Roman" w:cs="Times New Roman"/>
          <w:lang w:val="uk-UA"/>
        </w:rPr>
        <w:t xml:space="preserve"> </w:t>
      </w:r>
      <w:r w:rsidRPr="00DF25B5">
        <w:rPr>
          <w:rFonts w:ascii="Times New Roman" w:hAnsi="Times New Roman" w:cs="Times New Roman"/>
          <w:lang w:val="en-US"/>
        </w:rPr>
        <w:t xml:space="preserve">Assistance </w:t>
      </w:r>
      <w:r w:rsidR="00A45744" w:rsidRPr="00DF25B5">
        <w:rPr>
          <w:rFonts w:ascii="Times New Roman" w:hAnsi="Times New Roman" w:cs="Times New Roman"/>
          <w:lang w:val="en-US"/>
        </w:rPr>
        <w:t>To Reporting Institutions, June</w:t>
      </w:r>
      <w:r w:rsidR="00E53521" w:rsidRPr="00DF25B5">
        <w:rPr>
          <w:rFonts w:ascii="Times New Roman" w:hAnsi="Times New Roman" w:cs="Times New Roman"/>
          <w:lang w:val="en-US"/>
        </w:rPr>
        <w:t xml:space="preserve"> </w:t>
      </w:r>
      <w:r w:rsidR="00E53521" w:rsidRPr="00DF25B5">
        <w:rPr>
          <w:rFonts w:ascii="Times New Roman" w:hAnsi="Times New Roman" w:cs="Times New Roman"/>
          <w:lang w:val="uk-UA"/>
        </w:rPr>
        <w:t>2012</w:t>
      </w:r>
      <w:r w:rsidR="00A45744" w:rsidRPr="00DF25B5">
        <w:rPr>
          <w:rFonts w:ascii="Times New Roman" w:hAnsi="Times New Roman" w:cs="Times New Roman"/>
          <w:lang w:val="en-US"/>
        </w:rPr>
        <w:t>.</w:t>
      </w:r>
      <w:r w:rsidR="00A45744" w:rsidRPr="00861E26">
        <w:rPr>
          <w:rFonts w:ascii="Times New Roman" w:hAnsi="Times New Roman" w:cs="Times New Roman"/>
          <w:lang w:val="en-US"/>
        </w:rPr>
        <w:t xml:space="preserve"> </w:t>
      </w:r>
      <w:bookmarkEnd w:id="0"/>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0" w:history="1">
        <w:r w:rsidRPr="00DF25B5">
          <w:rPr>
            <w:rStyle w:val="a4"/>
            <w:rFonts w:ascii="Times New Roman" w:hAnsi="Times New Roman" w:cs="Times New Roman"/>
            <w:color w:val="auto"/>
            <w:u w:val="none"/>
            <w:lang w:val="uk-UA"/>
          </w:rPr>
          <w:t>http://www.fatf-gafi.org/media/fatf/documents/reports/Specific%20Risk%20Factors%20in%20the%20Laundering%20of%20Proceeds%20of%20Corruption.pdf</w:t>
        </w:r>
      </w:hyperlink>
    </w:p>
    <w:p w:rsidR="00F8589F" w:rsidRPr="00E52D44" w:rsidRDefault="00F8589F" w:rsidP="004577CE">
      <w:pPr>
        <w:pStyle w:val="1"/>
        <w:widowControl w:val="0"/>
        <w:numPr>
          <w:ilvl w:val="0"/>
          <w:numId w:val="3"/>
        </w:numPr>
        <w:tabs>
          <w:tab w:val="left" w:pos="993"/>
        </w:tabs>
        <w:spacing w:before="0" w:beforeAutospacing="0" w:after="0" w:afterAutospacing="0" w:line="360" w:lineRule="auto"/>
        <w:ind w:left="0" w:firstLine="709"/>
        <w:jc w:val="both"/>
        <w:rPr>
          <w:rFonts w:eastAsiaTheme="minorHAnsi"/>
          <w:b w:val="0"/>
          <w:bCs w:val="0"/>
          <w:kern w:val="0"/>
          <w:sz w:val="28"/>
          <w:szCs w:val="28"/>
          <w:lang w:val="en-US" w:eastAsia="en-US"/>
        </w:rPr>
      </w:pPr>
      <w:bookmarkStart w:id="1" w:name="_Ref504298287"/>
      <w:r w:rsidRPr="00E52D44">
        <w:rPr>
          <w:rFonts w:eastAsiaTheme="minorHAnsi"/>
          <w:b w:val="0"/>
          <w:bCs w:val="0"/>
          <w:kern w:val="0"/>
          <w:sz w:val="28"/>
          <w:szCs w:val="28"/>
          <w:lang w:val="en-US" w:eastAsia="en-US"/>
        </w:rPr>
        <w:t xml:space="preserve">McCarthy Niall. The Countries </w:t>
      </w:r>
      <w:r w:rsidR="00E52D44">
        <w:rPr>
          <w:rFonts w:eastAsiaTheme="minorHAnsi"/>
          <w:b w:val="0"/>
          <w:bCs w:val="0"/>
          <w:kern w:val="0"/>
          <w:sz w:val="28"/>
          <w:szCs w:val="28"/>
          <w:lang w:val="en-US" w:eastAsia="en-US"/>
        </w:rPr>
        <w:t>w</w:t>
      </w:r>
      <w:r w:rsidRPr="00E52D44">
        <w:rPr>
          <w:rFonts w:eastAsiaTheme="minorHAnsi"/>
          <w:b w:val="0"/>
          <w:bCs w:val="0"/>
          <w:kern w:val="0"/>
          <w:sz w:val="28"/>
          <w:szCs w:val="28"/>
          <w:lang w:val="en-US" w:eastAsia="en-US"/>
        </w:rPr>
        <w:t xml:space="preserve">ith </w:t>
      </w:r>
      <w:proofErr w:type="gramStart"/>
      <w:r w:rsidRPr="00E52D44">
        <w:rPr>
          <w:rFonts w:eastAsiaTheme="minorHAnsi"/>
          <w:b w:val="0"/>
          <w:bCs w:val="0"/>
          <w:kern w:val="0"/>
          <w:sz w:val="28"/>
          <w:szCs w:val="28"/>
          <w:lang w:val="en-US" w:eastAsia="en-US"/>
        </w:rPr>
        <w:t>The</w:t>
      </w:r>
      <w:proofErr w:type="gramEnd"/>
      <w:r w:rsidRPr="00E52D44">
        <w:rPr>
          <w:rFonts w:eastAsiaTheme="minorHAnsi"/>
          <w:b w:val="0"/>
          <w:bCs w:val="0"/>
          <w:kern w:val="0"/>
          <w:sz w:val="28"/>
          <w:szCs w:val="28"/>
          <w:lang w:val="en-US" w:eastAsia="en-US"/>
        </w:rPr>
        <w:t xml:space="preserve"> Largest Shadow Economies [</w:t>
      </w:r>
      <w:proofErr w:type="spellStart"/>
      <w:r w:rsidRPr="00E52D44">
        <w:rPr>
          <w:rFonts w:eastAsiaTheme="minorHAnsi"/>
          <w:b w:val="0"/>
          <w:bCs w:val="0"/>
          <w:kern w:val="0"/>
          <w:sz w:val="28"/>
          <w:szCs w:val="28"/>
          <w:lang w:val="en-US" w:eastAsia="en-US"/>
        </w:rPr>
        <w:t>Infographic</w:t>
      </w:r>
      <w:proofErr w:type="spellEnd"/>
      <w:r w:rsidRPr="00E52D44">
        <w:rPr>
          <w:rFonts w:eastAsiaTheme="minorHAnsi"/>
          <w:b w:val="0"/>
          <w:bCs w:val="0"/>
          <w:kern w:val="0"/>
          <w:sz w:val="28"/>
          <w:szCs w:val="28"/>
          <w:lang w:val="en-US" w:eastAsia="en-US"/>
        </w:rPr>
        <w:t>] Forbs, February 9, 2017</w:t>
      </w:r>
      <w:r w:rsidR="008A38AA" w:rsidRPr="00E52D44">
        <w:rPr>
          <w:rFonts w:eastAsiaTheme="minorHAnsi"/>
          <w:b w:val="0"/>
          <w:bCs w:val="0"/>
          <w:kern w:val="0"/>
          <w:sz w:val="28"/>
          <w:szCs w:val="28"/>
          <w:lang w:val="en-US" w:eastAsia="en-US"/>
        </w:rPr>
        <w:t xml:space="preserve">. </w:t>
      </w:r>
      <w:r w:rsidR="00861E26" w:rsidRPr="00861E26">
        <w:rPr>
          <w:b w:val="0"/>
          <w:sz w:val="28"/>
          <w:szCs w:val="28"/>
          <w:shd w:val="clear" w:color="auto" w:fill="FFFFFF"/>
          <w:lang w:val="en-US"/>
        </w:rPr>
        <w:t>Available at:</w:t>
      </w:r>
      <w:r w:rsidR="008A38AA" w:rsidRPr="00861E26">
        <w:rPr>
          <w:b w:val="0"/>
          <w:sz w:val="28"/>
          <w:szCs w:val="28"/>
          <w:lang w:val="en-US"/>
        </w:rPr>
        <w:t xml:space="preserve"> </w:t>
      </w:r>
      <w:hyperlink r:id="rId11" w:anchor="5bc8703b742c" w:history="1">
        <w:r w:rsidRPr="00E52D44">
          <w:rPr>
            <w:rStyle w:val="a4"/>
            <w:rFonts w:eastAsiaTheme="minorHAnsi"/>
            <w:b w:val="0"/>
            <w:bCs w:val="0"/>
            <w:color w:val="auto"/>
            <w:kern w:val="0"/>
            <w:sz w:val="28"/>
            <w:szCs w:val="28"/>
            <w:u w:val="none"/>
            <w:lang w:val="en-US" w:eastAsia="en-US"/>
          </w:rPr>
          <w:t>https://www.forbes.com/sites/niallmccarthy/2017/02/09/where-the-worlds-shadow-economies-are-firmly-established-infographic/#5bc8703b742c</w:t>
        </w:r>
      </w:hyperlink>
      <w:bookmarkEnd w:id="1"/>
    </w:p>
    <w:p w:rsidR="00CD3C22" w:rsidRPr="0021259A" w:rsidRDefault="009153D9"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21259A">
        <w:rPr>
          <w:rFonts w:ascii="Times New Roman" w:hAnsi="Times New Roman" w:cs="Times New Roman"/>
          <w:lang w:val="en-US"/>
        </w:rPr>
        <w:t>Schneider Friedrich</w:t>
      </w:r>
      <w:r w:rsidRPr="0021259A">
        <w:rPr>
          <w:rFonts w:ascii="Times New Roman" w:hAnsi="Times New Roman" w:cs="Times New Roman"/>
          <w:lang w:val="uk-UA"/>
        </w:rPr>
        <w:t>,</w:t>
      </w:r>
      <w:r w:rsidRPr="0021259A">
        <w:rPr>
          <w:rFonts w:ascii="Times New Roman" w:hAnsi="Times New Roman" w:cs="Times New Roman"/>
          <w:lang w:val="en-US"/>
        </w:rPr>
        <w:t xml:space="preserve"> </w:t>
      </w:r>
      <w:proofErr w:type="spellStart"/>
      <w:r w:rsidRPr="0021259A">
        <w:rPr>
          <w:rFonts w:ascii="Times New Roman" w:hAnsi="Times New Roman" w:cs="Times New Roman"/>
          <w:lang w:val="en-US"/>
        </w:rPr>
        <w:t>Buehn</w:t>
      </w:r>
      <w:proofErr w:type="spellEnd"/>
      <w:r w:rsidRPr="0021259A">
        <w:rPr>
          <w:rFonts w:ascii="Times New Roman" w:hAnsi="Times New Roman" w:cs="Times New Roman"/>
          <w:lang w:val="en-US"/>
        </w:rPr>
        <w:t xml:space="preserve"> Andreas</w:t>
      </w:r>
      <w:r w:rsidRPr="0021259A">
        <w:rPr>
          <w:rFonts w:ascii="Times New Roman" w:hAnsi="Times New Roman" w:cs="Times New Roman"/>
          <w:lang w:val="uk-UA"/>
        </w:rPr>
        <w:t>,</w:t>
      </w:r>
      <w:r w:rsidRPr="0021259A">
        <w:rPr>
          <w:rFonts w:ascii="Times New Roman" w:hAnsi="Times New Roman" w:cs="Times New Roman"/>
          <w:lang w:val="en-US"/>
        </w:rPr>
        <w:t xml:space="preserve"> Montenegro Claudio E. Shadow Economies All over the World</w:t>
      </w:r>
      <w:r w:rsidRPr="0021259A">
        <w:rPr>
          <w:rFonts w:ascii="Times New Roman" w:hAnsi="Times New Roman" w:cs="Times New Roman"/>
          <w:lang w:val="uk-UA"/>
        </w:rPr>
        <w:t xml:space="preserve">. </w:t>
      </w:r>
      <w:r w:rsidRPr="0021259A">
        <w:rPr>
          <w:rFonts w:ascii="Times New Roman" w:hAnsi="Times New Roman" w:cs="Times New Roman"/>
          <w:lang w:val="en-US"/>
        </w:rPr>
        <w:t>New Estimates for 162 Countries from 1999 to 2007</w:t>
      </w:r>
      <w:r w:rsidRPr="0021259A">
        <w:rPr>
          <w:rFonts w:ascii="Times New Roman" w:hAnsi="Times New Roman" w:cs="Times New Roman"/>
          <w:lang w:val="uk-UA"/>
        </w:rPr>
        <w:t xml:space="preserve">. </w:t>
      </w:r>
      <w:r w:rsidRPr="0021259A">
        <w:rPr>
          <w:rFonts w:ascii="Times New Roman" w:hAnsi="Times New Roman" w:cs="Times New Roman"/>
          <w:lang w:val="en-US"/>
        </w:rPr>
        <w:t>Poverty and Inequality Team, Development Research Group, and the Human Development Economics Unit, Europe and Central Asia Region</w:t>
      </w:r>
      <w:r w:rsidR="002F4492" w:rsidRPr="0021259A">
        <w:rPr>
          <w:rFonts w:ascii="Times New Roman" w:hAnsi="Times New Roman" w:cs="Times New Roman"/>
          <w:lang w:val="uk-UA"/>
        </w:rPr>
        <w:t xml:space="preserve">, </w:t>
      </w:r>
      <w:proofErr w:type="spellStart"/>
      <w:r w:rsidR="002F4492" w:rsidRPr="0021259A">
        <w:rPr>
          <w:rFonts w:ascii="Times New Roman" w:hAnsi="Times New Roman" w:cs="Times New Roman"/>
          <w:lang w:val="uk-UA"/>
        </w:rPr>
        <w:t>July</w:t>
      </w:r>
      <w:proofErr w:type="spellEnd"/>
      <w:r w:rsidR="002F4492" w:rsidRPr="0021259A">
        <w:rPr>
          <w:rFonts w:ascii="Times New Roman" w:hAnsi="Times New Roman" w:cs="Times New Roman"/>
          <w:lang w:val="uk-UA"/>
        </w:rPr>
        <w:t xml:space="preserve"> 2010</w:t>
      </w:r>
      <w:r w:rsidRPr="0021259A">
        <w:rPr>
          <w:rFonts w:ascii="Times New Roman" w:hAnsi="Times New Roman" w:cs="Times New Roman"/>
          <w:lang w:val="uk-UA"/>
        </w:rPr>
        <w:t xml:space="preserve">.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2" w:history="1">
        <w:r w:rsidRPr="0021259A">
          <w:rPr>
            <w:rStyle w:val="a4"/>
            <w:rFonts w:ascii="Times New Roman" w:hAnsi="Times New Roman" w:cs="Times New Roman"/>
            <w:color w:val="auto"/>
            <w:u w:val="none"/>
            <w:lang w:val="uk-UA"/>
          </w:rPr>
          <w:t>http://documents.worldbank.org/curated/en/311991468037132740/pdf/WPS5356.pdf</w:t>
        </w:r>
      </w:hyperlink>
    </w:p>
    <w:p w:rsidR="009153D9" w:rsidRPr="00E52D44" w:rsidRDefault="00F8589F"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E52D44">
        <w:rPr>
          <w:rFonts w:ascii="Times New Roman" w:hAnsi="Times New Roman" w:cs="Times New Roman"/>
          <w:lang w:val="en-US"/>
        </w:rPr>
        <w:t xml:space="preserve">Schneider, Friedrich, und IAW (2017), IAW: </w:t>
      </w:r>
      <w:proofErr w:type="spellStart"/>
      <w:r w:rsidRPr="00E52D44">
        <w:rPr>
          <w:rFonts w:ascii="Times New Roman" w:hAnsi="Times New Roman" w:cs="Times New Roman"/>
          <w:lang w:val="en-US"/>
        </w:rPr>
        <w:t>Prognose</w:t>
      </w:r>
      <w:proofErr w:type="spellEnd"/>
      <w:r w:rsidRPr="00E52D44">
        <w:rPr>
          <w:rFonts w:ascii="Times New Roman" w:hAnsi="Times New Roman" w:cs="Times New Roman"/>
          <w:lang w:val="en-US"/>
        </w:rPr>
        <w:t xml:space="preserve"> </w:t>
      </w:r>
      <w:proofErr w:type="spellStart"/>
      <w:r w:rsidRPr="00E52D44">
        <w:rPr>
          <w:rFonts w:ascii="Times New Roman" w:hAnsi="Times New Roman" w:cs="Times New Roman"/>
          <w:lang w:val="en-US"/>
        </w:rPr>
        <w:t>zur</w:t>
      </w:r>
      <w:proofErr w:type="spellEnd"/>
      <w:r w:rsidRPr="00E52D44">
        <w:rPr>
          <w:rFonts w:ascii="Times New Roman" w:hAnsi="Times New Roman" w:cs="Times New Roman"/>
          <w:lang w:val="en-US"/>
        </w:rPr>
        <w:t xml:space="preserve"> </w:t>
      </w:r>
      <w:proofErr w:type="spellStart"/>
      <w:r w:rsidRPr="00E52D44">
        <w:rPr>
          <w:rFonts w:ascii="Times New Roman" w:hAnsi="Times New Roman" w:cs="Times New Roman"/>
          <w:lang w:val="en-US"/>
        </w:rPr>
        <w:t>Entwicklung</w:t>
      </w:r>
      <w:proofErr w:type="spellEnd"/>
      <w:r w:rsidRPr="00E52D44">
        <w:rPr>
          <w:rFonts w:ascii="Times New Roman" w:hAnsi="Times New Roman" w:cs="Times New Roman"/>
          <w:lang w:val="en-US"/>
        </w:rPr>
        <w:t xml:space="preserve"> der </w:t>
      </w:r>
      <w:proofErr w:type="spellStart"/>
      <w:r w:rsidRPr="00E52D44">
        <w:rPr>
          <w:rFonts w:ascii="Times New Roman" w:hAnsi="Times New Roman" w:cs="Times New Roman"/>
          <w:lang w:val="en-US"/>
        </w:rPr>
        <w:t>Schattenwirtschaft</w:t>
      </w:r>
      <w:proofErr w:type="spellEnd"/>
      <w:r w:rsidRPr="00E52D44">
        <w:rPr>
          <w:rFonts w:ascii="Times New Roman" w:hAnsi="Times New Roman" w:cs="Times New Roman"/>
          <w:lang w:val="en-US"/>
        </w:rPr>
        <w:t xml:space="preserve"> 2017, </w:t>
      </w:r>
      <w:proofErr w:type="spellStart"/>
      <w:r w:rsidRPr="00E52D44">
        <w:rPr>
          <w:rFonts w:ascii="Times New Roman" w:hAnsi="Times New Roman" w:cs="Times New Roman"/>
          <w:lang w:val="en-US"/>
        </w:rPr>
        <w:t>Pressemitteilung</w:t>
      </w:r>
      <w:proofErr w:type="spellEnd"/>
      <w:r w:rsidRPr="00E52D44">
        <w:rPr>
          <w:rFonts w:ascii="Times New Roman" w:hAnsi="Times New Roman" w:cs="Times New Roman"/>
          <w:lang w:val="en-US"/>
        </w:rPr>
        <w:t xml:space="preserve"> des IAW.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3" w:history="1">
        <w:r w:rsidR="00D842FD" w:rsidRPr="00E52D44">
          <w:rPr>
            <w:rStyle w:val="a4"/>
            <w:rFonts w:ascii="Times New Roman" w:hAnsi="Times New Roman" w:cs="Times New Roman"/>
            <w:color w:val="auto"/>
            <w:u w:val="none"/>
            <w:lang w:val="en-US"/>
          </w:rPr>
          <w:t>http://www.iaw.edu/index.php/aktuelles- detail/622</w:t>
        </w:r>
      </w:hyperlink>
      <w:r w:rsidRPr="00E52D44">
        <w:rPr>
          <w:rFonts w:ascii="Times New Roman" w:hAnsi="Times New Roman" w:cs="Times New Roman"/>
          <w:lang w:val="en-US"/>
        </w:rPr>
        <w:t>.</w:t>
      </w:r>
    </w:p>
    <w:p w:rsidR="009D1D39" w:rsidRPr="00E52D44" w:rsidRDefault="009D1D39"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E52D44">
        <w:rPr>
          <w:rFonts w:ascii="Times New Roman" w:eastAsia="Times New Roman" w:hAnsi="Times New Roman" w:cs="Times New Roman"/>
          <w:lang w:val="en-US" w:eastAsia="ru-RU"/>
        </w:rPr>
        <w:t>Corruption Perceptions Index 2016</w:t>
      </w:r>
      <w:r w:rsidR="00861E26">
        <w:rPr>
          <w:rFonts w:ascii="Times New Roman" w:eastAsia="Times New Roman" w:hAnsi="Times New Roman" w:cs="Times New Roman"/>
          <w:lang w:val="en-US" w:eastAsia="ru-RU"/>
        </w:rPr>
        <w:t>.</w:t>
      </w:r>
      <w:r w:rsidR="00861E26" w:rsidRPr="00861E26">
        <w:rPr>
          <w:rFonts w:ascii="Times New Roman" w:hAnsi="Times New Roman" w:cs="Times New Roman"/>
          <w:shd w:val="clear" w:color="auto" w:fill="FFFFFF"/>
          <w:lang w:val="en-US"/>
        </w:rPr>
        <w:t xml:space="preserve">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4" w:history="1">
        <w:r w:rsidR="00AE5524" w:rsidRPr="00E52D44">
          <w:rPr>
            <w:rStyle w:val="a4"/>
            <w:rFonts w:ascii="Times New Roman" w:eastAsia="Times New Roman" w:hAnsi="Times New Roman" w:cs="Times New Roman"/>
            <w:color w:val="auto"/>
            <w:u w:val="none"/>
            <w:lang w:val="en-US" w:eastAsia="ru-RU"/>
          </w:rPr>
          <w:t>https://www.transparency.org/news/feature/corruption_perceptions_index_2016</w:t>
        </w:r>
      </w:hyperlink>
      <w:r w:rsidR="00AE5524" w:rsidRPr="00E52D44">
        <w:rPr>
          <w:rFonts w:ascii="Times New Roman" w:eastAsia="Times New Roman" w:hAnsi="Times New Roman" w:cs="Times New Roman"/>
          <w:lang w:val="uk-UA" w:eastAsia="ru-RU"/>
        </w:rPr>
        <w:t>.</w:t>
      </w:r>
    </w:p>
    <w:p w:rsidR="00D842FD" w:rsidRPr="00E52D44" w:rsidRDefault="00F61554"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E52D44">
        <w:rPr>
          <w:rFonts w:ascii="Times New Roman" w:hAnsi="Times New Roman" w:cs="Times New Roman"/>
          <w:lang w:val="en-US"/>
        </w:rPr>
        <w:t>Failed States Index.</w:t>
      </w:r>
      <w:r w:rsidR="002A6CAB" w:rsidRPr="00E52D44">
        <w:rPr>
          <w:rFonts w:ascii="Times New Roman" w:hAnsi="Times New Roman" w:cs="Times New Roman"/>
          <w:lang w:val="en-US"/>
        </w:rPr>
        <w:t xml:space="preserve"> </w:t>
      </w:r>
      <w:r w:rsidR="00861E26" w:rsidRPr="00861E26">
        <w:rPr>
          <w:rFonts w:ascii="Times New Roman" w:hAnsi="Times New Roman" w:cs="Times New Roman"/>
          <w:shd w:val="clear" w:color="auto" w:fill="FFFFFF"/>
          <w:lang w:val="en-US"/>
        </w:rPr>
        <w:t>Available at:</w:t>
      </w:r>
      <w:r w:rsidR="002A6CAB" w:rsidRPr="00E52D44">
        <w:rPr>
          <w:rFonts w:ascii="Times New Roman" w:hAnsi="Times New Roman" w:cs="Times New Roman"/>
          <w:lang w:val="en-US"/>
        </w:rPr>
        <w:t xml:space="preserve"> </w:t>
      </w:r>
      <w:hyperlink r:id="rId15" w:history="1">
        <w:r w:rsidR="002A6CAB" w:rsidRPr="00E52D44">
          <w:rPr>
            <w:rStyle w:val="a4"/>
            <w:rFonts w:ascii="Times New Roman" w:hAnsi="Times New Roman" w:cs="Times New Roman"/>
            <w:color w:val="auto"/>
            <w:u w:val="none"/>
            <w:lang w:val="en-US"/>
          </w:rPr>
          <w:t>http://fundforpeace.org/fsi/excel</w:t>
        </w:r>
      </w:hyperlink>
      <w:r w:rsidR="002A6CAB" w:rsidRPr="00E52D44">
        <w:rPr>
          <w:rFonts w:ascii="Times New Roman" w:hAnsi="Times New Roman" w:cs="Times New Roman"/>
          <w:lang w:val="en-US"/>
        </w:rPr>
        <w:t>.</w:t>
      </w:r>
    </w:p>
    <w:p w:rsidR="00E1243F" w:rsidRPr="00E52D44" w:rsidRDefault="00E1243F"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E52D44">
        <w:rPr>
          <w:rFonts w:ascii="Times New Roman" w:eastAsia="Times New Roman" w:hAnsi="Times New Roman" w:cs="Times New Roman"/>
          <w:lang w:val="en-US" w:eastAsia="ru-RU"/>
        </w:rPr>
        <w:t xml:space="preserve">World Justice Project: Rule of Law Index.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6" w:history="1">
        <w:r w:rsidRPr="00E52D44">
          <w:rPr>
            <w:rStyle w:val="a4"/>
            <w:rFonts w:ascii="Times New Roman" w:hAnsi="Times New Roman" w:cs="Times New Roman"/>
            <w:color w:val="auto"/>
            <w:u w:val="none"/>
            <w:lang w:val="en-US"/>
          </w:rPr>
          <w:t>https://worldjusticeproject.org/our-work/wjp-rule-law-index/wjp-rule-law-index-2016</w:t>
        </w:r>
      </w:hyperlink>
      <w:r w:rsidR="00DB5D5C" w:rsidRPr="00E52D44">
        <w:rPr>
          <w:rFonts w:ascii="Times New Roman" w:hAnsi="Times New Roman" w:cs="Times New Roman"/>
          <w:lang w:val="en-US"/>
        </w:rPr>
        <w:t>.</w:t>
      </w:r>
    </w:p>
    <w:p w:rsidR="00DB5D5C" w:rsidRPr="00E52D44" w:rsidRDefault="00DB5D5C" w:rsidP="004577CE">
      <w:pPr>
        <w:pStyle w:val="a3"/>
        <w:widowControl w:val="0"/>
        <w:numPr>
          <w:ilvl w:val="0"/>
          <w:numId w:val="3"/>
        </w:numPr>
        <w:tabs>
          <w:tab w:val="left" w:pos="993"/>
        </w:tabs>
        <w:spacing w:line="360" w:lineRule="auto"/>
        <w:ind w:left="0" w:firstLine="709"/>
        <w:jc w:val="both"/>
        <w:rPr>
          <w:rFonts w:ascii="Times New Roman" w:hAnsi="Times New Roman" w:cs="Times New Roman"/>
          <w:lang w:val="en-US"/>
        </w:rPr>
      </w:pPr>
      <w:r w:rsidRPr="00E52D44">
        <w:rPr>
          <w:rFonts w:ascii="Times New Roman" w:eastAsia="Times New Roman" w:hAnsi="Times New Roman" w:cs="Times New Roman"/>
          <w:lang w:val="en-US" w:eastAsia="ru-RU"/>
        </w:rPr>
        <w:t>World Justice Project: Rule of Law Index</w:t>
      </w:r>
      <w:r w:rsidRPr="00E52D44">
        <w:rPr>
          <w:rFonts w:ascii="Times New Roman" w:eastAsia="Times New Roman" w:hAnsi="Times New Roman" w:cs="Times New Roman"/>
          <w:lang w:val="uk-UA" w:eastAsia="ru-RU"/>
        </w:rPr>
        <w:t xml:space="preserve">: </w:t>
      </w:r>
      <w:r w:rsidRPr="00E52D44">
        <w:rPr>
          <w:rFonts w:ascii="Times New Roman" w:eastAsia="Times New Roman" w:hAnsi="Times New Roman" w:cs="Times New Roman"/>
          <w:lang w:val="en-US" w:eastAsia="ru-RU"/>
        </w:rPr>
        <w:t>Previous Editions</w:t>
      </w:r>
      <w:r w:rsidR="00861E26">
        <w:rPr>
          <w:rFonts w:ascii="Times New Roman" w:eastAsia="Times New Roman" w:hAnsi="Times New Roman" w:cs="Times New Roman"/>
          <w:lang w:val="en-US" w:eastAsia="ru-RU"/>
        </w:rPr>
        <w:t>.</w:t>
      </w:r>
      <w:r w:rsidRPr="00E52D44">
        <w:rPr>
          <w:rFonts w:ascii="Times New Roman" w:hAnsi="Times New Roman" w:cs="Times New Roman"/>
          <w:lang w:val="en-US"/>
        </w:rPr>
        <w:t xml:space="preserve">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7" w:history="1">
        <w:r w:rsidRPr="00E52D44">
          <w:rPr>
            <w:rStyle w:val="a4"/>
            <w:rFonts w:ascii="Times New Roman" w:hAnsi="Times New Roman" w:cs="Times New Roman"/>
            <w:color w:val="auto"/>
            <w:u w:val="none"/>
            <w:lang w:val="en-US"/>
          </w:rPr>
          <w:t>https://worldjusticeproject.org/our-work/wjp-rule-law-index/previous-editions-wjp-rule-law-index</w:t>
        </w:r>
      </w:hyperlink>
      <w:r w:rsidR="008A38AA" w:rsidRPr="00E52D44">
        <w:rPr>
          <w:rStyle w:val="a4"/>
          <w:rFonts w:ascii="Times New Roman" w:hAnsi="Times New Roman" w:cs="Times New Roman"/>
          <w:color w:val="auto"/>
          <w:u w:val="none"/>
          <w:lang w:val="uk-UA"/>
        </w:rPr>
        <w:t>.</w:t>
      </w:r>
    </w:p>
    <w:p w:rsidR="00E17C32" w:rsidRPr="00E52D44" w:rsidRDefault="00E17C32" w:rsidP="00861E26">
      <w:pPr>
        <w:pStyle w:val="a3"/>
        <w:widowControl w:val="0"/>
        <w:numPr>
          <w:ilvl w:val="0"/>
          <w:numId w:val="3"/>
        </w:numPr>
        <w:tabs>
          <w:tab w:val="left" w:pos="993"/>
        </w:tabs>
        <w:spacing w:line="360" w:lineRule="auto"/>
        <w:ind w:left="0" w:firstLine="709"/>
        <w:jc w:val="both"/>
        <w:rPr>
          <w:rFonts w:ascii="Times New Roman" w:hAnsi="Times New Roman" w:cs="Times New Roman"/>
          <w:lang w:val="uk-UA"/>
        </w:rPr>
      </w:pPr>
      <w:r w:rsidRPr="00E52D44">
        <w:rPr>
          <w:rFonts w:ascii="Times New Roman" w:hAnsi="Times New Roman" w:cs="Times New Roman"/>
          <w:lang w:val="en-US"/>
        </w:rPr>
        <w:t>Basel An</w:t>
      </w:r>
      <w:r w:rsidR="0021259A">
        <w:rPr>
          <w:rFonts w:ascii="Times New Roman" w:hAnsi="Times New Roman" w:cs="Times New Roman"/>
          <w:lang w:val="en-US"/>
        </w:rPr>
        <w:t xml:space="preserve">ti-Money Laundering (AML) Index </w:t>
      </w:r>
      <w:r w:rsidRPr="00E52D44">
        <w:rPr>
          <w:rFonts w:ascii="Times New Roman" w:hAnsi="Times New Roman" w:cs="Times New Roman"/>
          <w:lang w:val="uk-UA"/>
        </w:rPr>
        <w:t>2012-2017</w:t>
      </w:r>
      <w:r w:rsidR="00861E26">
        <w:rPr>
          <w:rFonts w:ascii="Times New Roman" w:hAnsi="Times New Roman" w:cs="Times New Roman"/>
          <w:lang w:val="en-US"/>
        </w:rPr>
        <w:t>.</w:t>
      </w:r>
      <w:r w:rsidRPr="00E52D44">
        <w:rPr>
          <w:rFonts w:ascii="Times New Roman" w:hAnsi="Times New Roman" w:cs="Times New Roman"/>
          <w:lang w:val="uk-UA"/>
        </w:rPr>
        <w:t xml:space="preserve">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8" w:history="1">
        <w:r w:rsidR="008A38AA" w:rsidRPr="00E52D44">
          <w:rPr>
            <w:rStyle w:val="a4"/>
            <w:rFonts w:ascii="Times New Roman" w:hAnsi="Times New Roman" w:cs="Times New Roman"/>
            <w:color w:val="auto"/>
            <w:u w:val="none"/>
            <w:lang w:val="uk-UA"/>
          </w:rPr>
          <w:t>https://index.baselgovernance.org</w:t>
        </w:r>
      </w:hyperlink>
      <w:r w:rsidR="008A38AA" w:rsidRPr="00E52D44">
        <w:rPr>
          <w:rFonts w:ascii="Times New Roman" w:hAnsi="Times New Roman" w:cs="Times New Roman"/>
          <w:lang w:val="uk-UA"/>
        </w:rPr>
        <w:t>.</w:t>
      </w:r>
    </w:p>
    <w:p w:rsidR="002A6CAB" w:rsidRPr="00E52D44" w:rsidRDefault="002C1631" w:rsidP="00FC2AE8">
      <w:pPr>
        <w:pStyle w:val="a3"/>
        <w:widowControl w:val="0"/>
        <w:numPr>
          <w:ilvl w:val="0"/>
          <w:numId w:val="3"/>
        </w:numPr>
        <w:tabs>
          <w:tab w:val="left" w:pos="1134"/>
        </w:tabs>
        <w:spacing w:line="360" w:lineRule="auto"/>
        <w:ind w:left="0" w:firstLine="709"/>
        <w:jc w:val="both"/>
        <w:rPr>
          <w:rFonts w:ascii="Times New Roman" w:hAnsi="Times New Roman" w:cs="Times New Roman"/>
          <w:lang w:val="en-US"/>
        </w:rPr>
      </w:pPr>
      <w:bookmarkStart w:id="2" w:name="_Ref504636182"/>
      <w:r w:rsidRPr="00E52D44">
        <w:rPr>
          <w:rFonts w:ascii="Times New Roman" w:hAnsi="Times New Roman" w:cs="Times New Roman"/>
          <w:lang w:val="en-US"/>
        </w:rPr>
        <w:t>The FATF Recommendations</w:t>
      </w:r>
      <w:r w:rsidR="00CF6852" w:rsidRPr="00E52D44">
        <w:rPr>
          <w:rFonts w:ascii="Times New Roman" w:hAnsi="Times New Roman" w:cs="Times New Roman"/>
          <w:lang w:val="en-US"/>
        </w:rPr>
        <w:t xml:space="preserve">: International Standards on Combating Money Laundering and the Financing Terrorism and Proliferation / Adopted by The FATF Plenary in February 2012, updated June 2017.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19" w:history="1">
        <w:r w:rsidR="00CF6852" w:rsidRPr="00E52D44">
          <w:rPr>
            <w:rStyle w:val="a4"/>
            <w:rFonts w:ascii="Times New Roman" w:hAnsi="Times New Roman" w:cs="Times New Roman"/>
            <w:color w:val="auto"/>
            <w:u w:val="none"/>
            <w:lang w:val="en-US"/>
          </w:rPr>
          <w:t>http://www.fatf-gafi.org/publications/fatfrecommendations/documents/fatf-recommendations.html</w:t>
        </w:r>
      </w:hyperlink>
      <w:r w:rsidR="00CF6852" w:rsidRPr="00E52D44">
        <w:rPr>
          <w:rFonts w:ascii="Times New Roman" w:hAnsi="Times New Roman" w:cs="Times New Roman"/>
          <w:lang w:val="uk-UA"/>
        </w:rPr>
        <w:t>.</w:t>
      </w:r>
      <w:bookmarkEnd w:id="2"/>
    </w:p>
    <w:p w:rsidR="00CF6852" w:rsidRPr="002D104E" w:rsidRDefault="00FC2AE8" w:rsidP="00FC2AE8">
      <w:pPr>
        <w:pStyle w:val="a3"/>
        <w:widowControl w:val="0"/>
        <w:numPr>
          <w:ilvl w:val="0"/>
          <w:numId w:val="3"/>
        </w:numPr>
        <w:tabs>
          <w:tab w:val="left" w:pos="1134"/>
        </w:tabs>
        <w:spacing w:line="360" w:lineRule="auto"/>
        <w:ind w:left="0" w:firstLine="709"/>
        <w:jc w:val="both"/>
        <w:rPr>
          <w:rFonts w:ascii="Times New Roman" w:hAnsi="Times New Roman" w:cs="Times New Roman"/>
          <w:lang w:val="en-US"/>
        </w:rPr>
      </w:pPr>
      <w:proofErr w:type="spellStart"/>
      <w:r w:rsidRPr="00FC2AE8">
        <w:rPr>
          <w:rFonts w:ascii="Times New Roman" w:hAnsi="Times New Roman" w:cs="Times New Roman"/>
          <w:lang w:val="uk-UA"/>
        </w:rPr>
        <w:t>Hroshovo-kredytna</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ta</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finansova</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statystyka</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Pokaznyky</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hroshovo-kredytnoyi</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polityky</w:t>
      </w:r>
      <w:proofErr w:type="spellEnd"/>
      <w:r w:rsidRPr="00FC2AE8">
        <w:rPr>
          <w:rFonts w:ascii="Times New Roman" w:hAnsi="Times New Roman" w:cs="Times New Roman"/>
          <w:lang w:val="uk-UA"/>
        </w:rPr>
        <w:t xml:space="preserve"> </w:t>
      </w:r>
      <w:proofErr w:type="spellStart"/>
      <w:r w:rsidRPr="00FC2AE8">
        <w:rPr>
          <w:rFonts w:ascii="Times New Roman" w:hAnsi="Times New Roman" w:cs="Times New Roman"/>
          <w:lang w:val="uk-UA"/>
        </w:rPr>
        <w:t>Natsional'noh</w:t>
      </w:r>
      <w:r w:rsidR="00000428">
        <w:rPr>
          <w:rFonts w:ascii="Times New Roman" w:hAnsi="Times New Roman" w:cs="Times New Roman"/>
          <w:lang w:val="uk-UA"/>
        </w:rPr>
        <w:t>o</w:t>
      </w:r>
      <w:proofErr w:type="spellEnd"/>
      <w:r w:rsidR="00000428">
        <w:rPr>
          <w:rFonts w:ascii="Times New Roman" w:hAnsi="Times New Roman" w:cs="Times New Roman"/>
          <w:lang w:val="uk-UA"/>
        </w:rPr>
        <w:t xml:space="preserve"> </w:t>
      </w:r>
      <w:proofErr w:type="spellStart"/>
      <w:r w:rsidR="00000428">
        <w:rPr>
          <w:rFonts w:ascii="Times New Roman" w:hAnsi="Times New Roman" w:cs="Times New Roman"/>
          <w:lang w:val="uk-UA"/>
        </w:rPr>
        <w:t>banku</w:t>
      </w:r>
      <w:proofErr w:type="spellEnd"/>
      <w:r w:rsidR="00000428">
        <w:rPr>
          <w:rFonts w:ascii="Times New Roman" w:hAnsi="Times New Roman" w:cs="Times New Roman"/>
          <w:lang w:val="uk-UA"/>
        </w:rPr>
        <w:t xml:space="preserve"> </w:t>
      </w:r>
      <w:proofErr w:type="spellStart"/>
      <w:r w:rsidR="00000428">
        <w:rPr>
          <w:rFonts w:ascii="Times New Roman" w:hAnsi="Times New Roman" w:cs="Times New Roman"/>
          <w:lang w:val="uk-UA"/>
        </w:rPr>
        <w:t>Ukrayiny</w:t>
      </w:r>
      <w:proofErr w:type="spellEnd"/>
      <w:r w:rsidR="00000428">
        <w:rPr>
          <w:rFonts w:ascii="Times New Roman" w:hAnsi="Times New Roman" w:cs="Times New Roman"/>
          <w:lang w:val="uk-UA"/>
        </w:rPr>
        <w:t xml:space="preserve">: </w:t>
      </w:r>
      <w:proofErr w:type="spellStart"/>
      <w:r w:rsidR="00000428">
        <w:rPr>
          <w:rFonts w:ascii="Times New Roman" w:hAnsi="Times New Roman" w:cs="Times New Roman"/>
          <w:lang w:val="uk-UA"/>
        </w:rPr>
        <w:t>hroshova</w:t>
      </w:r>
      <w:proofErr w:type="spellEnd"/>
      <w:r w:rsidR="00000428">
        <w:rPr>
          <w:rFonts w:ascii="Times New Roman" w:hAnsi="Times New Roman" w:cs="Times New Roman"/>
          <w:lang w:val="uk-UA"/>
        </w:rPr>
        <w:t xml:space="preserve"> </w:t>
      </w:r>
      <w:proofErr w:type="spellStart"/>
      <w:r w:rsidR="00000428">
        <w:rPr>
          <w:rFonts w:ascii="Times New Roman" w:hAnsi="Times New Roman" w:cs="Times New Roman"/>
          <w:lang w:val="uk-UA"/>
        </w:rPr>
        <w:t>baza</w:t>
      </w:r>
      <w:proofErr w:type="spellEnd"/>
      <w:r w:rsidR="00000428">
        <w:rPr>
          <w:rFonts w:ascii="Times New Roman" w:hAnsi="Times New Roman" w:cs="Times New Roman"/>
          <w:lang w:val="uk-UA"/>
        </w:rPr>
        <w:t xml:space="preserve"> </w:t>
      </w:r>
      <w:r w:rsidR="00000428">
        <w:rPr>
          <w:rFonts w:ascii="Times New Roman" w:eastAsia="Times New Roman" w:hAnsi="Times New Roman" w:cs="Times New Roman"/>
          <w:bCs/>
          <w:lang w:val="en-US" w:eastAsia="ru-RU"/>
        </w:rPr>
        <w:t xml:space="preserve">[Monetary </w:t>
      </w:r>
      <w:r w:rsidR="00000428">
        <w:rPr>
          <w:rFonts w:ascii="Times New Roman" w:eastAsia="Times New Roman" w:hAnsi="Times New Roman" w:cs="Times New Roman"/>
          <w:bCs/>
          <w:lang w:val="en-US" w:eastAsia="ru-RU"/>
        </w:rPr>
        <w:t xml:space="preserve">and financial </w:t>
      </w:r>
      <w:r w:rsidR="00000428">
        <w:rPr>
          <w:rFonts w:ascii="Times New Roman" w:eastAsia="Times New Roman" w:hAnsi="Times New Roman" w:cs="Times New Roman"/>
          <w:bCs/>
          <w:lang w:val="en-US" w:eastAsia="ru-RU"/>
        </w:rPr>
        <w:t>statistics:</w:t>
      </w:r>
      <w:r w:rsidR="00000428">
        <w:rPr>
          <w:rFonts w:ascii="Times New Roman" w:eastAsia="Times New Roman" w:hAnsi="Times New Roman" w:cs="Times New Roman"/>
          <w:bCs/>
          <w:lang w:val="en-US" w:eastAsia="ru-RU"/>
        </w:rPr>
        <w:t xml:space="preserve">  National Bank of Ukraine Monetary police indexes: money base</w:t>
      </w:r>
      <w:bookmarkStart w:id="3" w:name="_GoBack"/>
      <w:bookmarkEnd w:id="3"/>
      <w:r w:rsidR="00000428">
        <w:rPr>
          <w:rFonts w:ascii="Times New Roman" w:eastAsia="Times New Roman" w:hAnsi="Times New Roman" w:cs="Times New Roman"/>
          <w:bCs/>
          <w:lang w:val="en-US" w:eastAsia="ru-RU"/>
        </w:rPr>
        <w:t>]</w:t>
      </w:r>
      <w:r w:rsidR="00861E26">
        <w:rPr>
          <w:rFonts w:ascii="Times New Roman" w:hAnsi="Times New Roman" w:cs="Times New Roman"/>
          <w:lang w:val="uk-UA"/>
        </w:rPr>
        <w:t xml:space="preserve"> </w:t>
      </w:r>
      <w:r w:rsidR="00861E26" w:rsidRPr="00861E26">
        <w:rPr>
          <w:rFonts w:ascii="Times New Roman" w:hAnsi="Times New Roman" w:cs="Times New Roman"/>
          <w:shd w:val="clear" w:color="auto" w:fill="FFFFFF"/>
          <w:lang w:val="en-US"/>
        </w:rPr>
        <w:t>[in Ukrainian]</w:t>
      </w:r>
      <w:r w:rsidR="00861E26">
        <w:rPr>
          <w:rFonts w:ascii="Times New Roman" w:hAnsi="Times New Roman" w:cs="Times New Roman"/>
          <w:shd w:val="clear" w:color="auto" w:fill="FFFFFF"/>
          <w:lang w:val="en-US"/>
        </w:rPr>
        <w:t>.</w:t>
      </w:r>
      <w:r w:rsidR="00861E26" w:rsidRPr="00861E26">
        <w:rPr>
          <w:rFonts w:ascii="Times New Roman" w:hAnsi="Times New Roman" w:cs="Times New Roman"/>
          <w:shd w:val="clear" w:color="auto" w:fill="FFFFFF"/>
          <w:lang w:val="en-US"/>
        </w:rPr>
        <w:t xml:space="preserve"> Available at:</w:t>
      </w:r>
      <w:r w:rsidR="00861E26" w:rsidRPr="00861E26">
        <w:rPr>
          <w:lang w:val="en-US"/>
        </w:rPr>
        <w:t xml:space="preserve"> </w:t>
      </w:r>
      <w:hyperlink r:id="rId20" w:anchor="1" w:history="1">
        <w:r w:rsidR="00FB712F" w:rsidRPr="00E52D44">
          <w:rPr>
            <w:rStyle w:val="a4"/>
            <w:rFonts w:ascii="Times New Roman" w:hAnsi="Times New Roman" w:cs="Times New Roman"/>
            <w:color w:val="auto"/>
            <w:u w:val="none"/>
            <w:lang w:val="en-US"/>
          </w:rPr>
          <w:t>https</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bank</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gov</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ua</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control</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uk</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publish</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article</w:t>
        </w:r>
        <w:r w:rsidR="00FB712F" w:rsidRPr="002D104E">
          <w:rPr>
            <w:rStyle w:val="a4"/>
            <w:rFonts w:ascii="Times New Roman" w:hAnsi="Times New Roman" w:cs="Times New Roman"/>
            <w:color w:val="auto"/>
            <w:u w:val="none"/>
            <w:lang w:val="en-US"/>
          </w:rPr>
          <w:t>?</w:t>
        </w:r>
        <w:r w:rsidR="00FB712F" w:rsidRPr="00E52D44">
          <w:rPr>
            <w:rStyle w:val="a4"/>
            <w:rFonts w:ascii="Times New Roman" w:hAnsi="Times New Roman" w:cs="Times New Roman"/>
            <w:color w:val="auto"/>
            <w:u w:val="none"/>
            <w:lang w:val="en-US"/>
          </w:rPr>
          <w:t>art</w:t>
        </w:r>
        <w:r w:rsidR="00FB712F" w:rsidRPr="002D104E">
          <w:rPr>
            <w:rStyle w:val="a4"/>
            <w:rFonts w:ascii="Times New Roman" w:hAnsi="Times New Roman" w:cs="Times New Roman"/>
            <w:color w:val="auto"/>
            <w:u w:val="none"/>
            <w:lang w:val="en-US"/>
          </w:rPr>
          <w:t>_</w:t>
        </w:r>
        <w:r w:rsidR="00FB712F" w:rsidRPr="00E52D44">
          <w:rPr>
            <w:rStyle w:val="a4"/>
            <w:rFonts w:ascii="Times New Roman" w:hAnsi="Times New Roman" w:cs="Times New Roman"/>
            <w:color w:val="auto"/>
            <w:u w:val="none"/>
            <w:lang w:val="en-US"/>
          </w:rPr>
          <w:t>id</w:t>
        </w:r>
        <w:r w:rsidR="00FB712F" w:rsidRPr="002D104E">
          <w:rPr>
            <w:rStyle w:val="a4"/>
            <w:rFonts w:ascii="Times New Roman" w:hAnsi="Times New Roman" w:cs="Times New Roman"/>
            <w:color w:val="auto"/>
            <w:u w:val="none"/>
            <w:lang w:val="en-US"/>
          </w:rPr>
          <w:t>=27843415&amp;</w:t>
        </w:r>
        <w:r w:rsidR="00FB712F" w:rsidRPr="00E52D44">
          <w:rPr>
            <w:rStyle w:val="a4"/>
            <w:rFonts w:ascii="Times New Roman" w:hAnsi="Times New Roman" w:cs="Times New Roman"/>
            <w:color w:val="auto"/>
            <w:u w:val="none"/>
            <w:lang w:val="en-US"/>
          </w:rPr>
          <w:t>cat</w:t>
        </w:r>
        <w:r w:rsidR="00FB712F" w:rsidRPr="002D104E">
          <w:rPr>
            <w:rStyle w:val="a4"/>
            <w:rFonts w:ascii="Times New Roman" w:hAnsi="Times New Roman" w:cs="Times New Roman"/>
            <w:color w:val="auto"/>
            <w:u w:val="none"/>
            <w:lang w:val="en-US"/>
          </w:rPr>
          <w:t>_</w:t>
        </w:r>
        <w:r w:rsidR="00FB712F" w:rsidRPr="00E52D44">
          <w:rPr>
            <w:rStyle w:val="a4"/>
            <w:rFonts w:ascii="Times New Roman" w:hAnsi="Times New Roman" w:cs="Times New Roman"/>
            <w:color w:val="auto"/>
            <w:u w:val="none"/>
            <w:lang w:val="en-US"/>
          </w:rPr>
          <w:t>id</w:t>
        </w:r>
        <w:r w:rsidR="00FB712F" w:rsidRPr="002D104E">
          <w:rPr>
            <w:rStyle w:val="a4"/>
            <w:rFonts w:ascii="Times New Roman" w:hAnsi="Times New Roman" w:cs="Times New Roman"/>
            <w:color w:val="auto"/>
            <w:u w:val="none"/>
            <w:lang w:val="en-US"/>
          </w:rPr>
          <w:t>=44578#1</w:t>
        </w:r>
      </w:hyperlink>
      <w:r w:rsidR="00FB712F" w:rsidRPr="00E52D44">
        <w:rPr>
          <w:rFonts w:ascii="Times New Roman" w:hAnsi="Times New Roman" w:cs="Times New Roman"/>
          <w:lang w:val="uk-UA"/>
        </w:rPr>
        <w:t>.</w:t>
      </w:r>
    </w:p>
    <w:p w:rsidR="008B3F55" w:rsidRPr="002D104E" w:rsidRDefault="00FC2AE8" w:rsidP="00366FC4">
      <w:pPr>
        <w:pStyle w:val="a3"/>
        <w:widowControl w:val="0"/>
        <w:numPr>
          <w:ilvl w:val="0"/>
          <w:numId w:val="3"/>
        </w:numPr>
        <w:tabs>
          <w:tab w:val="left" w:pos="1134"/>
        </w:tabs>
        <w:spacing w:line="360" w:lineRule="auto"/>
        <w:ind w:left="0" w:firstLine="709"/>
        <w:jc w:val="both"/>
        <w:rPr>
          <w:rStyle w:val="a4"/>
          <w:rFonts w:ascii="Times New Roman" w:hAnsi="Times New Roman" w:cs="Times New Roman"/>
          <w:color w:val="auto"/>
          <w:u w:val="none"/>
          <w:lang w:val="en-US"/>
        </w:rPr>
      </w:pPr>
      <w:proofErr w:type="spellStart"/>
      <w:r w:rsidRPr="00861E26">
        <w:rPr>
          <w:rFonts w:ascii="Times New Roman" w:eastAsia="Times New Roman" w:hAnsi="Times New Roman" w:cs="Times New Roman"/>
          <w:bCs/>
          <w:lang w:val="en-US" w:eastAsia="ru-RU"/>
        </w:rPr>
        <w:t>Hroshovo-kredytna</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statystyka</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ohlyady</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finansovykh</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korporatsiy</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hroshovi</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ahrehaty</w:t>
      </w:r>
      <w:proofErr w:type="spellEnd"/>
      <w:r w:rsidRPr="00861E26">
        <w:rPr>
          <w:rFonts w:ascii="Times New Roman" w:eastAsia="Times New Roman" w:hAnsi="Times New Roman" w:cs="Times New Roman"/>
          <w:bCs/>
          <w:lang w:val="en-US" w:eastAsia="ru-RU"/>
        </w:rPr>
        <w:t xml:space="preserve"> ta </w:t>
      </w:r>
      <w:proofErr w:type="spellStart"/>
      <w:r w:rsidRPr="00861E26">
        <w:rPr>
          <w:rFonts w:ascii="Times New Roman" w:eastAsia="Times New Roman" w:hAnsi="Times New Roman" w:cs="Times New Roman"/>
          <w:bCs/>
          <w:lang w:val="en-US" w:eastAsia="ru-RU"/>
        </w:rPr>
        <w:t>koresponduyuchi</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statti</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Ohlyadu</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depozytnykh</w:t>
      </w:r>
      <w:proofErr w:type="spellEnd"/>
      <w:r w:rsidRPr="00861E26">
        <w:rPr>
          <w:rFonts w:ascii="Times New Roman" w:eastAsia="Times New Roman" w:hAnsi="Times New Roman" w:cs="Times New Roman"/>
          <w:bCs/>
          <w:lang w:val="en-US" w:eastAsia="ru-RU"/>
        </w:rPr>
        <w:t xml:space="preserve"> </w:t>
      </w:r>
      <w:proofErr w:type="spellStart"/>
      <w:r w:rsidRPr="00861E26">
        <w:rPr>
          <w:rFonts w:ascii="Times New Roman" w:eastAsia="Times New Roman" w:hAnsi="Times New Roman" w:cs="Times New Roman"/>
          <w:bCs/>
          <w:lang w:val="en-US" w:eastAsia="ru-RU"/>
        </w:rPr>
        <w:t>korporatsiy</w:t>
      </w:r>
      <w:proofErr w:type="spellEnd"/>
      <w:r w:rsidR="00861E26">
        <w:rPr>
          <w:rFonts w:ascii="Times New Roman" w:eastAsia="Times New Roman" w:hAnsi="Times New Roman" w:cs="Times New Roman"/>
          <w:bCs/>
          <w:lang w:val="en-US" w:eastAsia="ru-RU"/>
        </w:rPr>
        <w:t xml:space="preserve"> [Monetary </w:t>
      </w:r>
      <w:r w:rsidR="00000428">
        <w:rPr>
          <w:rFonts w:ascii="Times New Roman" w:eastAsia="Times New Roman" w:hAnsi="Times New Roman" w:cs="Times New Roman"/>
          <w:bCs/>
          <w:lang w:val="en-US" w:eastAsia="ru-RU"/>
        </w:rPr>
        <w:t xml:space="preserve">and financial </w:t>
      </w:r>
      <w:r w:rsidR="00861E26">
        <w:rPr>
          <w:rFonts w:ascii="Times New Roman" w:eastAsia="Times New Roman" w:hAnsi="Times New Roman" w:cs="Times New Roman"/>
          <w:bCs/>
          <w:lang w:val="en-US" w:eastAsia="ru-RU"/>
        </w:rPr>
        <w:t>statistics: financial corporations report</w:t>
      </w:r>
      <w:r w:rsidR="00000428">
        <w:rPr>
          <w:rFonts w:ascii="Times New Roman" w:eastAsia="Times New Roman" w:hAnsi="Times New Roman" w:cs="Times New Roman"/>
          <w:bCs/>
          <w:lang w:val="en-US" w:eastAsia="ru-RU"/>
        </w:rPr>
        <w:t xml:space="preserve">. Money aggregates and correspondent accounts of </w:t>
      </w:r>
      <w:r w:rsidR="00000428">
        <w:rPr>
          <w:rFonts w:ascii="Times New Roman" w:eastAsia="Times New Roman" w:hAnsi="Times New Roman" w:cs="Times New Roman"/>
          <w:bCs/>
          <w:lang w:val="en-US" w:eastAsia="ru-RU"/>
        </w:rPr>
        <w:t>financial corporations</w:t>
      </w:r>
      <w:r w:rsidR="00861E26">
        <w:rPr>
          <w:rFonts w:ascii="Times New Roman" w:eastAsia="Times New Roman" w:hAnsi="Times New Roman" w:cs="Times New Roman"/>
          <w:bCs/>
          <w:lang w:val="en-US" w:eastAsia="ru-RU"/>
        </w:rPr>
        <w:t>]</w:t>
      </w:r>
      <w:r w:rsidR="00861E26" w:rsidRPr="00861E26">
        <w:rPr>
          <w:rFonts w:ascii="Times New Roman" w:eastAsia="Times New Roman" w:hAnsi="Times New Roman" w:cs="Times New Roman"/>
          <w:bCs/>
          <w:lang w:val="en-US" w:eastAsia="ru-RU"/>
        </w:rPr>
        <w:t xml:space="preserve"> </w:t>
      </w:r>
      <w:r w:rsidR="00861E26" w:rsidRPr="00861E26">
        <w:rPr>
          <w:rFonts w:ascii="Times New Roman" w:hAnsi="Times New Roman" w:cs="Times New Roman"/>
          <w:shd w:val="clear" w:color="auto" w:fill="FFFFFF"/>
          <w:lang w:val="en-US"/>
        </w:rPr>
        <w:t>[in Ukrainian]</w:t>
      </w:r>
      <w:r w:rsidR="00861E26" w:rsidRPr="00861E26">
        <w:rPr>
          <w:rFonts w:ascii="Times New Roman" w:hAnsi="Times New Roman" w:cs="Times New Roman"/>
          <w:shd w:val="clear" w:color="auto" w:fill="FFFFFF"/>
          <w:lang w:val="en-US"/>
        </w:rPr>
        <w:t xml:space="preserve"> </w:t>
      </w:r>
      <w:r w:rsidR="00861E26" w:rsidRPr="00861E26">
        <w:rPr>
          <w:rFonts w:ascii="Times New Roman" w:hAnsi="Times New Roman" w:cs="Times New Roman"/>
          <w:shd w:val="clear" w:color="auto" w:fill="FFFFFF"/>
          <w:lang w:val="en-US"/>
        </w:rPr>
        <w:t>Available at:</w:t>
      </w:r>
      <w:r w:rsidR="00861E26" w:rsidRPr="00861E26">
        <w:rPr>
          <w:lang w:val="en-US"/>
        </w:rPr>
        <w:t xml:space="preserve"> </w:t>
      </w:r>
      <w:hyperlink r:id="rId21" w:anchor="1" w:history="1">
        <w:r w:rsidR="00496907" w:rsidRPr="00861E26">
          <w:rPr>
            <w:rStyle w:val="a4"/>
            <w:rFonts w:ascii="Times New Roman" w:hAnsi="Times New Roman" w:cs="Times New Roman"/>
            <w:color w:val="auto"/>
            <w:u w:val="none"/>
            <w:lang w:val="en-US"/>
          </w:rPr>
          <w:t>https://bank.gov.ua/control/uk/publish/article?art_id=27843415&amp;cat_id=44578#1</w:t>
        </w:r>
      </w:hyperlink>
      <w:r w:rsidR="00496907" w:rsidRPr="00861E26">
        <w:rPr>
          <w:rFonts w:ascii="Times New Roman" w:hAnsi="Times New Roman" w:cs="Times New Roman"/>
          <w:lang w:val="uk-UA"/>
        </w:rPr>
        <w:t>.</w:t>
      </w:r>
    </w:p>
    <w:sectPr w:rsidR="008B3F55" w:rsidRPr="002D104E" w:rsidSect="005E0E48">
      <w:footnotePr>
        <w:numRestart w:val="eachPage"/>
      </w:foot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96B" w:rsidRDefault="003D196B" w:rsidP="000E1DEE">
      <w:r>
        <w:separator/>
      </w:r>
    </w:p>
  </w:endnote>
  <w:endnote w:type="continuationSeparator" w:id="0">
    <w:p w:rsidR="003D196B" w:rsidRDefault="003D196B" w:rsidP="000E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96B" w:rsidRDefault="003D196B" w:rsidP="000E1DEE">
      <w:r>
        <w:separator/>
      </w:r>
    </w:p>
  </w:footnote>
  <w:footnote w:type="continuationSeparator" w:id="0">
    <w:p w:rsidR="003D196B" w:rsidRDefault="003D196B" w:rsidP="000E1DEE">
      <w:r>
        <w:continuationSeparator/>
      </w:r>
    </w:p>
  </w:footnote>
  <w:footnote w:id="1">
    <w:p w:rsidR="007D0504" w:rsidRPr="000E1DEE" w:rsidRDefault="007D0504" w:rsidP="005E0E48">
      <w:pPr>
        <w:widowControl w:val="0"/>
        <w:tabs>
          <w:tab w:val="left" w:pos="993"/>
        </w:tabs>
        <w:jc w:val="both"/>
        <w:rPr>
          <w:lang w:val="uk-UA"/>
        </w:rPr>
      </w:pPr>
      <w:r w:rsidRPr="005E0E48">
        <w:rPr>
          <w:rStyle w:val="aa"/>
          <w:rFonts w:ascii="Times New Roman" w:hAnsi="Times New Roman" w:cs="Times New Roman"/>
          <w:sz w:val="20"/>
          <w:szCs w:val="20"/>
        </w:rPr>
        <w:footnoteRef/>
      </w:r>
      <w:r w:rsidRPr="000E1DEE">
        <w:rPr>
          <w:lang w:val="en-US"/>
        </w:rPr>
        <w:t xml:space="preserve"> </w:t>
      </w:r>
      <w:r w:rsidRPr="000E1DEE">
        <w:rPr>
          <w:rFonts w:ascii="Times New Roman" w:hAnsi="Times New Roman" w:cs="Times New Roman"/>
          <w:sz w:val="16"/>
          <w:szCs w:val="16"/>
          <w:lang w:val="uk-UA"/>
        </w:rPr>
        <w:t xml:space="preserve">FATF </w:t>
      </w:r>
      <w:proofErr w:type="spellStart"/>
      <w:r w:rsidRPr="000E1DEE">
        <w:rPr>
          <w:rFonts w:ascii="Times New Roman" w:hAnsi="Times New Roman" w:cs="Times New Roman"/>
          <w:sz w:val="16"/>
          <w:szCs w:val="16"/>
          <w:lang w:val="uk-UA"/>
        </w:rPr>
        <w:t>Repo</w:t>
      </w:r>
      <w:proofErr w:type="spellEnd"/>
      <w:r w:rsidRPr="000E1DEE">
        <w:rPr>
          <w:rFonts w:ascii="Times New Roman" w:hAnsi="Times New Roman" w:cs="Times New Roman"/>
          <w:sz w:val="16"/>
          <w:szCs w:val="16"/>
          <w:lang w:val="en-US"/>
        </w:rPr>
        <w:t>r</w:t>
      </w:r>
      <w:r w:rsidRPr="000E1DEE">
        <w:rPr>
          <w:rFonts w:ascii="Times New Roman" w:hAnsi="Times New Roman" w:cs="Times New Roman"/>
          <w:sz w:val="16"/>
          <w:szCs w:val="16"/>
          <w:lang w:val="uk-UA"/>
        </w:rPr>
        <w:t xml:space="preserve">t. </w:t>
      </w:r>
      <w:proofErr w:type="spellStart"/>
      <w:r w:rsidRPr="000E1DEE">
        <w:rPr>
          <w:rFonts w:ascii="Times New Roman" w:hAnsi="Times New Roman" w:cs="Times New Roman"/>
          <w:sz w:val="16"/>
          <w:szCs w:val="16"/>
          <w:lang w:val="uk-UA"/>
        </w:rPr>
        <w:t>Specific</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Risk</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Factors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in</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the</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Laundering</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Proceeds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Corruption</w:t>
      </w:r>
      <w:proofErr w:type="spellEnd"/>
      <w:r w:rsidRPr="000E1DEE">
        <w:rPr>
          <w:rFonts w:ascii="Times New Roman" w:hAnsi="Times New Roman" w:cs="Times New Roman"/>
          <w:sz w:val="16"/>
          <w:szCs w:val="16"/>
          <w:lang w:val="uk-UA"/>
        </w:rPr>
        <w:t xml:space="preserve">: </w:t>
      </w:r>
      <w:r w:rsidRPr="000E1DEE">
        <w:rPr>
          <w:rFonts w:ascii="Times New Roman" w:hAnsi="Times New Roman" w:cs="Times New Roman"/>
          <w:sz w:val="16"/>
          <w:szCs w:val="16"/>
          <w:lang w:val="en-US"/>
        </w:rPr>
        <w:t xml:space="preserve">Assistance To Reporting Institutions, June </w:t>
      </w:r>
      <w:r w:rsidRPr="000E1DEE">
        <w:rPr>
          <w:rFonts w:ascii="Times New Roman" w:hAnsi="Times New Roman" w:cs="Times New Roman"/>
          <w:sz w:val="16"/>
          <w:szCs w:val="16"/>
          <w:lang w:val="uk-UA"/>
        </w:rPr>
        <w:t>2012</w:t>
      </w:r>
      <w:r w:rsidRPr="000E1DEE">
        <w:rPr>
          <w:rFonts w:ascii="Times New Roman" w:hAnsi="Times New Roman" w:cs="Times New Roman"/>
          <w:sz w:val="16"/>
          <w:szCs w:val="16"/>
          <w:lang w:val="en-US"/>
        </w:rPr>
        <w:t xml:space="preserve">. </w:t>
      </w:r>
    </w:p>
  </w:footnote>
  <w:footnote w:id="2">
    <w:p w:rsidR="007D0504" w:rsidRPr="00602C4A" w:rsidRDefault="007D0504" w:rsidP="005E0E48">
      <w:pPr>
        <w:pStyle w:val="a8"/>
        <w:rPr>
          <w:lang w:val="uk-UA"/>
        </w:rPr>
      </w:pPr>
      <w:r>
        <w:rPr>
          <w:rStyle w:val="aa"/>
        </w:rPr>
        <w:footnoteRef/>
      </w:r>
      <w:r>
        <w:rPr>
          <w:lang w:val="en-US"/>
        </w:rPr>
        <w:t xml:space="preserve"> </w:t>
      </w:r>
      <w:r w:rsidRPr="00795D66">
        <w:rPr>
          <w:rFonts w:ascii="Times New Roman" w:hAnsi="Times New Roman" w:cs="Times New Roman"/>
          <w:sz w:val="16"/>
          <w:szCs w:val="16"/>
          <w:lang w:val="en-US"/>
        </w:rPr>
        <w:t>The FATF Recommendations: International Standards on Combating Money Laundering and the Financing Terrorism and Proliferation / Adopted by The FATF Plenary in February 2012, updated June 2017</w:t>
      </w:r>
      <w:r w:rsidR="00602C4A">
        <w:rPr>
          <w:rFonts w:ascii="Times New Roman" w:hAnsi="Times New Roman" w:cs="Times New Roman"/>
          <w:sz w:val="16"/>
          <w:szCs w:val="16"/>
          <w:lang w:val="uk-UA"/>
        </w:rPr>
        <w:t>.</w:t>
      </w:r>
    </w:p>
  </w:footnote>
  <w:footnote w:id="3">
    <w:p w:rsidR="007D0504" w:rsidRPr="00795D66" w:rsidRDefault="007D0504" w:rsidP="005E0E48">
      <w:pPr>
        <w:pStyle w:val="a8"/>
        <w:rPr>
          <w:lang w:val="en-US"/>
        </w:rPr>
      </w:pPr>
      <w:r>
        <w:rPr>
          <w:rStyle w:val="aa"/>
        </w:rPr>
        <w:footnoteRef/>
      </w:r>
      <w:r w:rsidRPr="00795D66">
        <w:rPr>
          <w:lang w:val="en-US"/>
        </w:rPr>
        <w:t xml:space="preserve"> </w:t>
      </w:r>
      <w:r w:rsidRPr="000E1DEE">
        <w:rPr>
          <w:rFonts w:ascii="Times New Roman" w:hAnsi="Times New Roman" w:cs="Times New Roman"/>
          <w:sz w:val="16"/>
          <w:szCs w:val="16"/>
          <w:lang w:val="uk-UA"/>
        </w:rPr>
        <w:t xml:space="preserve">FATF </w:t>
      </w:r>
      <w:proofErr w:type="spellStart"/>
      <w:r w:rsidRPr="000E1DEE">
        <w:rPr>
          <w:rFonts w:ascii="Times New Roman" w:hAnsi="Times New Roman" w:cs="Times New Roman"/>
          <w:sz w:val="16"/>
          <w:szCs w:val="16"/>
          <w:lang w:val="uk-UA"/>
        </w:rPr>
        <w:t>Repo</w:t>
      </w:r>
      <w:proofErr w:type="spellEnd"/>
      <w:r w:rsidRPr="000E1DEE">
        <w:rPr>
          <w:rFonts w:ascii="Times New Roman" w:hAnsi="Times New Roman" w:cs="Times New Roman"/>
          <w:sz w:val="16"/>
          <w:szCs w:val="16"/>
          <w:lang w:val="en-US"/>
        </w:rPr>
        <w:t>r</w:t>
      </w:r>
      <w:r w:rsidRPr="000E1DEE">
        <w:rPr>
          <w:rFonts w:ascii="Times New Roman" w:hAnsi="Times New Roman" w:cs="Times New Roman"/>
          <w:sz w:val="16"/>
          <w:szCs w:val="16"/>
          <w:lang w:val="uk-UA"/>
        </w:rPr>
        <w:t xml:space="preserve">t. </w:t>
      </w:r>
      <w:proofErr w:type="spellStart"/>
      <w:r w:rsidRPr="000E1DEE">
        <w:rPr>
          <w:rFonts w:ascii="Times New Roman" w:hAnsi="Times New Roman" w:cs="Times New Roman"/>
          <w:sz w:val="16"/>
          <w:szCs w:val="16"/>
          <w:lang w:val="uk-UA"/>
        </w:rPr>
        <w:t>Specific</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Risk</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Factors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in</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the</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Laundering</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Proceeds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Corruption</w:t>
      </w:r>
      <w:proofErr w:type="spellEnd"/>
      <w:r w:rsidRPr="000E1DEE">
        <w:rPr>
          <w:rFonts w:ascii="Times New Roman" w:hAnsi="Times New Roman" w:cs="Times New Roman"/>
          <w:sz w:val="16"/>
          <w:szCs w:val="16"/>
          <w:lang w:val="uk-UA"/>
        </w:rPr>
        <w:t xml:space="preserve">: </w:t>
      </w:r>
      <w:r w:rsidRPr="000E1DEE">
        <w:rPr>
          <w:rFonts w:ascii="Times New Roman" w:hAnsi="Times New Roman" w:cs="Times New Roman"/>
          <w:sz w:val="16"/>
          <w:szCs w:val="16"/>
          <w:lang w:val="en-US"/>
        </w:rPr>
        <w:t xml:space="preserve">Assistance To Reporting Institutions, June </w:t>
      </w:r>
      <w:r w:rsidRPr="000E1DEE">
        <w:rPr>
          <w:rFonts w:ascii="Times New Roman" w:hAnsi="Times New Roman" w:cs="Times New Roman"/>
          <w:sz w:val="16"/>
          <w:szCs w:val="16"/>
          <w:lang w:val="uk-UA"/>
        </w:rPr>
        <w:t>2012</w:t>
      </w:r>
      <w:r w:rsidRPr="000E1DEE">
        <w:rPr>
          <w:rFonts w:ascii="Times New Roman" w:hAnsi="Times New Roman" w:cs="Times New Roman"/>
          <w:sz w:val="16"/>
          <w:szCs w:val="16"/>
          <w:lang w:val="en-US"/>
        </w:rPr>
        <w:t>.</w:t>
      </w:r>
    </w:p>
  </w:footnote>
  <w:footnote w:id="4">
    <w:p w:rsidR="007D0504" w:rsidRPr="004577CE" w:rsidRDefault="007D0504">
      <w:pPr>
        <w:pStyle w:val="a8"/>
        <w:rPr>
          <w:lang w:val="en-US"/>
        </w:rPr>
      </w:pPr>
      <w:r>
        <w:rPr>
          <w:rStyle w:val="aa"/>
        </w:rPr>
        <w:footnoteRef/>
      </w:r>
      <w:r w:rsidRPr="004577CE">
        <w:rPr>
          <w:lang w:val="en-US"/>
        </w:rPr>
        <w:t xml:space="preserve"> </w:t>
      </w:r>
      <w:r w:rsidRPr="004577CE">
        <w:rPr>
          <w:rFonts w:ascii="Times New Roman" w:hAnsi="Times New Roman" w:cs="Times New Roman"/>
          <w:bCs/>
          <w:sz w:val="16"/>
          <w:szCs w:val="16"/>
          <w:lang w:val="en-US"/>
        </w:rPr>
        <w:t xml:space="preserve">McCarthy Niall. The Countries with </w:t>
      </w:r>
      <w:proofErr w:type="gramStart"/>
      <w:r w:rsidRPr="004577CE">
        <w:rPr>
          <w:rFonts w:ascii="Times New Roman" w:hAnsi="Times New Roman" w:cs="Times New Roman"/>
          <w:bCs/>
          <w:sz w:val="16"/>
          <w:szCs w:val="16"/>
          <w:lang w:val="en-US"/>
        </w:rPr>
        <w:t>The</w:t>
      </w:r>
      <w:proofErr w:type="gramEnd"/>
      <w:r w:rsidRPr="004577CE">
        <w:rPr>
          <w:rFonts w:ascii="Times New Roman" w:hAnsi="Times New Roman" w:cs="Times New Roman"/>
          <w:bCs/>
          <w:sz w:val="16"/>
          <w:szCs w:val="16"/>
          <w:lang w:val="en-US"/>
        </w:rPr>
        <w:t xml:space="preserve"> Largest Shadow Economies [</w:t>
      </w:r>
      <w:proofErr w:type="spellStart"/>
      <w:r w:rsidRPr="004577CE">
        <w:rPr>
          <w:rFonts w:ascii="Times New Roman" w:hAnsi="Times New Roman" w:cs="Times New Roman"/>
          <w:bCs/>
          <w:sz w:val="16"/>
          <w:szCs w:val="16"/>
          <w:lang w:val="en-US"/>
        </w:rPr>
        <w:t>Infographic</w:t>
      </w:r>
      <w:proofErr w:type="spellEnd"/>
      <w:r w:rsidRPr="004577CE">
        <w:rPr>
          <w:rFonts w:ascii="Times New Roman" w:hAnsi="Times New Roman" w:cs="Times New Roman"/>
          <w:bCs/>
          <w:sz w:val="16"/>
          <w:szCs w:val="16"/>
          <w:lang w:val="en-US"/>
        </w:rPr>
        <w:t>] Forbs, February 9, 2017.</w:t>
      </w:r>
    </w:p>
  </w:footnote>
  <w:footnote w:id="5">
    <w:p w:rsidR="007D0504" w:rsidRPr="004577CE" w:rsidRDefault="007D0504" w:rsidP="004577CE">
      <w:pPr>
        <w:pStyle w:val="a8"/>
        <w:rPr>
          <w:lang w:val="en-US"/>
        </w:rPr>
      </w:pPr>
      <w:r>
        <w:rPr>
          <w:rStyle w:val="aa"/>
        </w:rPr>
        <w:footnoteRef/>
      </w:r>
      <w:r w:rsidRPr="004577CE">
        <w:rPr>
          <w:lang w:val="en-US"/>
        </w:rPr>
        <w:t xml:space="preserve"> </w:t>
      </w:r>
      <w:r w:rsidRPr="004577CE">
        <w:rPr>
          <w:rFonts w:ascii="Times New Roman" w:hAnsi="Times New Roman" w:cs="Times New Roman"/>
          <w:sz w:val="16"/>
          <w:szCs w:val="16"/>
          <w:lang w:val="en-US"/>
        </w:rPr>
        <w:t>Schneider Friedrich</w:t>
      </w:r>
      <w:r w:rsidRPr="004577CE">
        <w:rPr>
          <w:rFonts w:ascii="Times New Roman" w:hAnsi="Times New Roman" w:cs="Times New Roman"/>
          <w:sz w:val="16"/>
          <w:szCs w:val="16"/>
          <w:lang w:val="uk-UA"/>
        </w:rPr>
        <w:t>,</w:t>
      </w:r>
      <w:r w:rsidRPr="004577CE">
        <w:rPr>
          <w:rFonts w:ascii="Times New Roman" w:hAnsi="Times New Roman" w:cs="Times New Roman"/>
          <w:sz w:val="16"/>
          <w:szCs w:val="16"/>
          <w:lang w:val="en-US"/>
        </w:rPr>
        <w:t xml:space="preserve"> </w:t>
      </w:r>
      <w:proofErr w:type="spellStart"/>
      <w:r w:rsidRPr="004577CE">
        <w:rPr>
          <w:rFonts w:ascii="Times New Roman" w:hAnsi="Times New Roman" w:cs="Times New Roman"/>
          <w:sz w:val="16"/>
          <w:szCs w:val="16"/>
          <w:lang w:val="en-US"/>
        </w:rPr>
        <w:t>Buehn</w:t>
      </w:r>
      <w:proofErr w:type="spellEnd"/>
      <w:r w:rsidRPr="004577CE">
        <w:rPr>
          <w:rFonts w:ascii="Times New Roman" w:hAnsi="Times New Roman" w:cs="Times New Roman"/>
          <w:sz w:val="16"/>
          <w:szCs w:val="16"/>
          <w:lang w:val="en-US"/>
        </w:rPr>
        <w:t xml:space="preserve"> Andreas</w:t>
      </w:r>
      <w:r w:rsidRPr="004577CE">
        <w:rPr>
          <w:rFonts w:ascii="Times New Roman" w:hAnsi="Times New Roman" w:cs="Times New Roman"/>
          <w:sz w:val="16"/>
          <w:szCs w:val="16"/>
          <w:lang w:val="uk-UA"/>
        </w:rPr>
        <w:t>,</w:t>
      </w:r>
      <w:r w:rsidRPr="004577CE">
        <w:rPr>
          <w:rFonts w:ascii="Times New Roman" w:hAnsi="Times New Roman" w:cs="Times New Roman"/>
          <w:sz w:val="16"/>
          <w:szCs w:val="16"/>
          <w:lang w:val="en-US"/>
        </w:rPr>
        <w:t xml:space="preserve"> Montenegro Claudio E. Shadow Economies All over the World</w:t>
      </w:r>
      <w:r w:rsidRPr="004577CE">
        <w:rPr>
          <w:rFonts w:ascii="Times New Roman" w:hAnsi="Times New Roman" w:cs="Times New Roman"/>
          <w:sz w:val="16"/>
          <w:szCs w:val="16"/>
          <w:lang w:val="uk-UA"/>
        </w:rPr>
        <w:t xml:space="preserve">. </w:t>
      </w:r>
      <w:r w:rsidRPr="004577CE">
        <w:rPr>
          <w:rFonts w:ascii="Times New Roman" w:hAnsi="Times New Roman" w:cs="Times New Roman"/>
          <w:sz w:val="16"/>
          <w:szCs w:val="16"/>
          <w:lang w:val="en-US"/>
        </w:rPr>
        <w:t>New Estimates for 162 Countries from 1999 to 2007</w:t>
      </w:r>
      <w:r w:rsidRPr="004577CE">
        <w:rPr>
          <w:rFonts w:ascii="Times New Roman" w:hAnsi="Times New Roman" w:cs="Times New Roman"/>
          <w:sz w:val="16"/>
          <w:szCs w:val="16"/>
          <w:lang w:val="uk-UA"/>
        </w:rPr>
        <w:t xml:space="preserve">. </w:t>
      </w:r>
      <w:r w:rsidRPr="004577CE">
        <w:rPr>
          <w:rFonts w:ascii="Times New Roman" w:hAnsi="Times New Roman" w:cs="Times New Roman"/>
          <w:sz w:val="16"/>
          <w:szCs w:val="16"/>
          <w:lang w:val="en-US"/>
        </w:rPr>
        <w:t>Poverty and Inequality Team, Development Research Group, and the Human Development Economics Unit, Europe and Central Asia Region</w:t>
      </w:r>
      <w:r w:rsidRPr="004577CE">
        <w:rPr>
          <w:rFonts w:ascii="Times New Roman" w:hAnsi="Times New Roman" w:cs="Times New Roman"/>
          <w:sz w:val="16"/>
          <w:szCs w:val="16"/>
          <w:lang w:val="uk-UA"/>
        </w:rPr>
        <w:t xml:space="preserve">, </w:t>
      </w:r>
      <w:proofErr w:type="spellStart"/>
      <w:r w:rsidRPr="004577CE">
        <w:rPr>
          <w:rFonts w:ascii="Times New Roman" w:hAnsi="Times New Roman" w:cs="Times New Roman"/>
          <w:sz w:val="16"/>
          <w:szCs w:val="16"/>
          <w:lang w:val="uk-UA"/>
        </w:rPr>
        <w:t>July</w:t>
      </w:r>
      <w:proofErr w:type="spellEnd"/>
      <w:r w:rsidRPr="004577CE">
        <w:rPr>
          <w:rFonts w:ascii="Times New Roman" w:hAnsi="Times New Roman" w:cs="Times New Roman"/>
          <w:sz w:val="16"/>
          <w:szCs w:val="16"/>
          <w:lang w:val="uk-UA"/>
        </w:rPr>
        <w:t xml:space="preserve"> 2010.</w:t>
      </w:r>
    </w:p>
  </w:footnote>
  <w:footnote w:id="6">
    <w:p w:rsidR="007D0504" w:rsidRPr="004577CE" w:rsidRDefault="007D0504" w:rsidP="004577CE">
      <w:pPr>
        <w:widowControl w:val="0"/>
        <w:tabs>
          <w:tab w:val="left" w:pos="993"/>
        </w:tabs>
        <w:jc w:val="both"/>
        <w:rPr>
          <w:sz w:val="16"/>
          <w:szCs w:val="16"/>
          <w:lang w:val="en-US"/>
        </w:rPr>
      </w:pPr>
      <w:r w:rsidRPr="004577CE">
        <w:rPr>
          <w:rStyle w:val="aa"/>
          <w:sz w:val="20"/>
          <w:szCs w:val="20"/>
        </w:rPr>
        <w:footnoteRef/>
      </w:r>
      <w:r w:rsidRPr="004577CE">
        <w:rPr>
          <w:sz w:val="20"/>
          <w:szCs w:val="20"/>
          <w:lang w:val="en-US"/>
        </w:rPr>
        <w:t xml:space="preserve"> </w:t>
      </w:r>
      <w:r w:rsidRPr="004577CE">
        <w:rPr>
          <w:rFonts w:ascii="Times New Roman" w:eastAsia="Times New Roman" w:hAnsi="Times New Roman" w:cs="Times New Roman"/>
          <w:sz w:val="16"/>
          <w:szCs w:val="16"/>
          <w:lang w:val="en-US" w:eastAsia="ru-RU"/>
        </w:rPr>
        <w:t xml:space="preserve">Corruption Perceptions Index 2016: </w:t>
      </w:r>
      <w:hyperlink r:id="rId1" w:history="1">
        <w:r w:rsidRPr="004577CE">
          <w:rPr>
            <w:rStyle w:val="a4"/>
            <w:rFonts w:ascii="Times New Roman" w:eastAsia="Times New Roman" w:hAnsi="Times New Roman" w:cs="Times New Roman"/>
            <w:color w:val="auto"/>
            <w:sz w:val="16"/>
            <w:szCs w:val="16"/>
            <w:u w:val="none"/>
            <w:lang w:val="en-US" w:eastAsia="ru-RU"/>
          </w:rPr>
          <w:t>https://www.transparency.org/news/feature/corruption_perceptions_index_2016</w:t>
        </w:r>
      </w:hyperlink>
      <w:r w:rsidRPr="004577CE">
        <w:rPr>
          <w:rFonts w:ascii="Times New Roman" w:eastAsia="Times New Roman" w:hAnsi="Times New Roman" w:cs="Times New Roman"/>
          <w:sz w:val="16"/>
          <w:szCs w:val="16"/>
          <w:lang w:val="uk-UA" w:eastAsia="ru-RU"/>
        </w:rPr>
        <w:t>.</w:t>
      </w:r>
    </w:p>
  </w:footnote>
  <w:footnote w:id="7">
    <w:p w:rsidR="007D0504" w:rsidRPr="007A7B59" w:rsidRDefault="007D0504" w:rsidP="007A7B59">
      <w:pPr>
        <w:widowControl w:val="0"/>
        <w:tabs>
          <w:tab w:val="left" w:pos="993"/>
        </w:tabs>
        <w:spacing w:line="360" w:lineRule="auto"/>
        <w:jc w:val="both"/>
        <w:rPr>
          <w:b/>
          <w:sz w:val="16"/>
          <w:szCs w:val="16"/>
          <w:lang w:val="en-US"/>
        </w:rPr>
      </w:pPr>
      <w:r w:rsidRPr="004577CE">
        <w:rPr>
          <w:rStyle w:val="aa"/>
          <w:sz w:val="20"/>
          <w:szCs w:val="20"/>
        </w:rPr>
        <w:footnoteRef/>
      </w:r>
      <w:r w:rsidRPr="004577CE">
        <w:rPr>
          <w:lang w:val="en-US"/>
        </w:rPr>
        <w:t xml:space="preserve"> </w:t>
      </w:r>
      <w:r w:rsidRPr="004577CE">
        <w:rPr>
          <w:rFonts w:ascii="Times New Roman" w:hAnsi="Times New Roman" w:cs="Times New Roman"/>
          <w:sz w:val="16"/>
          <w:szCs w:val="16"/>
          <w:lang w:val="en-US"/>
        </w:rPr>
        <w:t xml:space="preserve">Failed States Index. – [Electronic Source]. – Access mode: </w:t>
      </w:r>
      <w:hyperlink r:id="rId2" w:history="1">
        <w:r w:rsidRPr="004577CE">
          <w:rPr>
            <w:rStyle w:val="a4"/>
            <w:rFonts w:ascii="Times New Roman" w:hAnsi="Times New Roman" w:cs="Times New Roman"/>
            <w:color w:val="auto"/>
            <w:sz w:val="16"/>
            <w:szCs w:val="16"/>
            <w:u w:val="none"/>
            <w:lang w:val="en-US"/>
          </w:rPr>
          <w:t>http://fundforpeace.org/fsi/excel</w:t>
        </w:r>
      </w:hyperlink>
      <w:r w:rsidRPr="004577CE">
        <w:rPr>
          <w:rFonts w:ascii="Times New Roman" w:hAnsi="Times New Roman" w:cs="Times New Roman"/>
          <w:sz w:val="16"/>
          <w:szCs w:val="16"/>
          <w:lang w:val="en-US"/>
        </w:rPr>
        <w:t>.</w:t>
      </w:r>
    </w:p>
  </w:footnote>
  <w:footnote w:id="8">
    <w:p w:rsidR="007D0504" w:rsidRPr="005E0E48" w:rsidRDefault="007D0504" w:rsidP="005E0E48">
      <w:pPr>
        <w:widowControl w:val="0"/>
        <w:tabs>
          <w:tab w:val="left" w:pos="993"/>
        </w:tabs>
        <w:spacing w:line="360" w:lineRule="auto"/>
        <w:jc w:val="both"/>
        <w:rPr>
          <w:b/>
          <w:sz w:val="16"/>
          <w:szCs w:val="16"/>
          <w:lang w:val="en-US"/>
        </w:rPr>
      </w:pPr>
      <w:r w:rsidRPr="005E0E48">
        <w:rPr>
          <w:rStyle w:val="aa"/>
          <w:sz w:val="20"/>
          <w:szCs w:val="20"/>
        </w:rPr>
        <w:footnoteRef/>
      </w:r>
      <w:r w:rsidRPr="005E0E48">
        <w:rPr>
          <w:lang w:val="en-US"/>
        </w:rPr>
        <w:t xml:space="preserve"> </w:t>
      </w:r>
      <w:r w:rsidRPr="004577CE">
        <w:rPr>
          <w:rFonts w:ascii="Times New Roman" w:hAnsi="Times New Roman" w:cs="Times New Roman"/>
          <w:sz w:val="16"/>
          <w:szCs w:val="16"/>
          <w:lang w:val="en-US"/>
        </w:rPr>
        <w:t xml:space="preserve">Failed States Index. – [Electronic Source]. – Access mode: </w:t>
      </w:r>
      <w:hyperlink r:id="rId3" w:history="1">
        <w:r w:rsidRPr="004577CE">
          <w:rPr>
            <w:rStyle w:val="a4"/>
            <w:rFonts w:ascii="Times New Roman" w:hAnsi="Times New Roman" w:cs="Times New Roman"/>
            <w:color w:val="auto"/>
            <w:sz w:val="16"/>
            <w:szCs w:val="16"/>
            <w:u w:val="none"/>
            <w:lang w:val="en-US"/>
          </w:rPr>
          <w:t>http://fundforpeace.org/fsi/excel</w:t>
        </w:r>
      </w:hyperlink>
      <w:r w:rsidRPr="004577CE">
        <w:rPr>
          <w:rFonts w:ascii="Times New Roman" w:hAnsi="Times New Roman" w:cs="Times New Roman"/>
          <w:sz w:val="16"/>
          <w:szCs w:val="16"/>
          <w:lang w:val="en-US"/>
        </w:rPr>
        <w:t>.</w:t>
      </w:r>
    </w:p>
  </w:footnote>
  <w:footnote w:id="9">
    <w:p w:rsidR="007D0504" w:rsidRPr="007D0504" w:rsidRDefault="007D0504" w:rsidP="007D0504">
      <w:pPr>
        <w:widowControl w:val="0"/>
        <w:tabs>
          <w:tab w:val="left" w:pos="993"/>
        </w:tabs>
        <w:jc w:val="both"/>
        <w:rPr>
          <w:rFonts w:ascii="Times New Roman" w:hAnsi="Times New Roman" w:cs="Times New Roman"/>
          <w:sz w:val="20"/>
          <w:szCs w:val="20"/>
          <w:lang w:val="en-US"/>
        </w:rPr>
      </w:pPr>
      <w:r w:rsidRPr="007D0504">
        <w:rPr>
          <w:rStyle w:val="aa"/>
          <w:rFonts w:ascii="Times New Roman" w:hAnsi="Times New Roman" w:cs="Times New Roman"/>
          <w:sz w:val="20"/>
          <w:szCs w:val="20"/>
        </w:rPr>
        <w:footnoteRef/>
      </w:r>
      <w:r w:rsidRPr="007D0504">
        <w:rPr>
          <w:rFonts w:ascii="Times New Roman" w:hAnsi="Times New Roman" w:cs="Times New Roman"/>
          <w:sz w:val="20"/>
          <w:szCs w:val="20"/>
          <w:lang w:val="en-US"/>
        </w:rPr>
        <w:t xml:space="preserve"> </w:t>
      </w:r>
      <w:r w:rsidRPr="007D0504">
        <w:rPr>
          <w:rFonts w:ascii="Times New Roman" w:eastAsia="Times New Roman" w:hAnsi="Times New Roman" w:cs="Times New Roman"/>
          <w:sz w:val="20"/>
          <w:szCs w:val="20"/>
          <w:lang w:val="en-US" w:eastAsia="ru-RU"/>
        </w:rPr>
        <w:t xml:space="preserve">World Justice Project: Rule of Law Index. </w:t>
      </w:r>
      <w:r w:rsidRPr="000A1DED">
        <w:rPr>
          <w:rFonts w:ascii="Times New Roman" w:eastAsia="Times New Roman" w:hAnsi="Times New Roman" w:cs="Times New Roman"/>
          <w:sz w:val="20"/>
          <w:szCs w:val="20"/>
          <w:lang w:val="en-US" w:eastAsia="ru-RU"/>
        </w:rPr>
        <w:t>– [Electronic Source]. – Access mode:</w:t>
      </w:r>
      <w:r w:rsidRPr="000A1DED">
        <w:rPr>
          <w:rFonts w:ascii="Times New Roman" w:eastAsia="Times New Roman" w:hAnsi="Times New Roman" w:cs="Times New Roman"/>
          <w:sz w:val="20"/>
          <w:szCs w:val="20"/>
          <w:lang w:val="uk-UA" w:eastAsia="ru-RU"/>
        </w:rPr>
        <w:t xml:space="preserve"> </w:t>
      </w:r>
      <w:hyperlink r:id="rId4" w:history="1">
        <w:r w:rsidRPr="000A1DED">
          <w:rPr>
            <w:rStyle w:val="a4"/>
            <w:rFonts w:ascii="Times New Roman" w:hAnsi="Times New Roman" w:cs="Times New Roman"/>
            <w:color w:val="auto"/>
            <w:sz w:val="20"/>
            <w:szCs w:val="20"/>
            <w:u w:val="none"/>
            <w:lang w:val="en-US"/>
          </w:rPr>
          <w:t>https://wor</w:t>
        </w:r>
        <w:r w:rsidRPr="000A1DED">
          <w:rPr>
            <w:rStyle w:val="a4"/>
            <w:rFonts w:ascii="Times New Roman" w:hAnsi="Times New Roman" w:cs="Times New Roman"/>
            <w:color w:val="auto"/>
            <w:sz w:val="20"/>
            <w:szCs w:val="20"/>
            <w:u w:val="none"/>
            <w:lang w:val="en-US"/>
          </w:rPr>
          <w:t>l</w:t>
        </w:r>
        <w:r w:rsidRPr="000A1DED">
          <w:rPr>
            <w:rStyle w:val="a4"/>
            <w:rFonts w:ascii="Times New Roman" w:hAnsi="Times New Roman" w:cs="Times New Roman"/>
            <w:color w:val="auto"/>
            <w:sz w:val="20"/>
            <w:szCs w:val="20"/>
            <w:u w:val="none"/>
            <w:lang w:val="en-US"/>
          </w:rPr>
          <w:t>djusticeproject.org/our-work/wjp-rule-law-index/wjp-rule-law-index-2016</w:t>
        </w:r>
      </w:hyperlink>
      <w:r w:rsidRPr="000A1DED">
        <w:rPr>
          <w:rFonts w:ascii="Times New Roman" w:hAnsi="Times New Roman" w:cs="Times New Roman"/>
          <w:sz w:val="20"/>
          <w:szCs w:val="20"/>
          <w:lang w:val="en-US"/>
        </w:rPr>
        <w:t>.</w:t>
      </w:r>
    </w:p>
    <w:p w:rsidR="007D0504" w:rsidRPr="007D0504" w:rsidRDefault="007D0504">
      <w:pPr>
        <w:pStyle w:val="a8"/>
        <w:rPr>
          <w:lang w:val="en-US"/>
        </w:rPr>
      </w:pPr>
    </w:p>
  </w:footnote>
  <w:footnote w:id="10">
    <w:p w:rsidR="00444F37" w:rsidRPr="00444F37" w:rsidRDefault="00444F37" w:rsidP="00444F37">
      <w:pPr>
        <w:widowControl w:val="0"/>
        <w:tabs>
          <w:tab w:val="left" w:pos="993"/>
        </w:tabs>
        <w:spacing w:line="360" w:lineRule="auto"/>
        <w:rPr>
          <w:rFonts w:ascii="Times New Roman" w:hAnsi="Times New Roman" w:cs="Times New Roman"/>
          <w:lang w:val="uk-UA"/>
        </w:rPr>
      </w:pPr>
      <w:r w:rsidRPr="00444F37">
        <w:rPr>
          <w:rStyle w:val="aa"/>
          <w:rFonts w:ascii="Times New Roman" w:hAnsi="Times New Roman" w:cs="Times New Roman"/>
          <w:sz w:val="20"/>
          <w:szCs w:val="20"/>
        </w:rPr>
        <w:footnoteRef/>
      </w:r>
      <w:r w:rsidRPr="00444F37">
        <w:rPr>
          <w:lang w:val="en-US"/>
        </w:rPr>
        <w:t xml:space="preserve"> </w:t>
      </w:r>
      <w:r w:rsidRPr="00444F37">
        <w:rPr>
          <w:rFonts w:ascii="Times New Roman" w:hAnsi="Times New Roman" w:cs="Times New Roman"/>
          <w:sz w:val="16"/>
          <w:szCs w:val="16"/>
          <w:lang w:val="en-US"/>
        </w:rPr>
        <w:t xml:space="preserve">Basel Anti-Money Laundering (AML) Index </w:t>
      </w:r>
      <w:r w:rsidRPr="00444F37">
        <w:rPr>
          <w:rFonts w:ascii="Times New Roman" w:hAnsi="Times New Roman" w:cs="Times New Roman"/>
          <w:sz w:val="16"/>
          <w:szCs w:val="16"/>
          <w:lang w:val="uk-UA"/>
        </w:rPr>
        <w:t xml:space="preserve">2012-2017 </w:t>
      </w:r>
      <w:hyperlink r:id="rId5" w:history="1">
        <w:r w:rsidRPr="00444F37">
          <w:rPr>
            <w:rStyle w:val="a4"/>
            <w:rFonts w:ascii="Times New Roman" w:hAnsi="Times New Roman" w:cs="Times New Roman"/>
            <w:color w:val="auto"/>
            <w:sz w:val="16"/>
            <w:szCs w:val="16"/>
            <w:u w:val="none"/>
            <w:lang w:val="uk-UA"/>
          </w:rPr>
          <w:t>https://index.baselgovernance.org</w:t>
        </w:r>
      </w:hyperlink>
      <w:r w:rsidRPr="00444F37">
        <w:rPr>
          <w:rFonts w:ascii="Times New Roman" w:hAnsi="Times New Roman" w:cs="Times New Roman"/>
          <w:sz w:val="16"/>
          <w:szCs w:val="16"/>
          <w:lang w:val="uk-UA"/>
        </w:rPr>
        <w:t>.</w:t>
      </w:r>
    </w:p>
    <w:p w:rsidR="00444F37" w:rsidRPr="00444F37" w:rsidRDefault="00444F37">
      <w:pPr>
        <w:pStyle w:val="a8"/>
        <w:rPr>
          <w:lang w:val="uk-UA"/>
        </w:rPr>
      </w:pPr>
    </w:p>
  </w:footnote>
  <w:footnote w:id="11">
    <w:p w:rsidR="00444F37" w:rsidRPr="00444F37" w:rsidRDefault="00444F37">
      <w:pPr>
        <w:pStyle w:val="a8"/>
        <w:rPr>
          <w:lang w:val="uk-UA"/>
        </w:rPr>
      </w:pPr>
      <w:r>
        <w:rPr>
          <w:rStyle w:val="aa"/>
        </w:rPr>
        <w:footnoteRef/>
      </w:r>
      <w:r w:rsidRPr="00444F37">
        <w:rPr>
          <w:lang w:val="en-US"/>
        </w:rPr>
        <w:t xml:space="preserve"> </w:t>
      </w:r>
      <w:r w:rsidRPr="00444F37">
        <w:rPr>
          <w:rFonts w:ascii="Times New Roman" w:hAnsi="Times New Roman" w:cs="Times New Roman"/>
          <w:sz w:val="16"/>
          <w:szCs w:val="16"/>
          <w:lang w:val="en-US"/>
        </w:rPr>
        <w:t xml:space="preserve">Basel Anti-Money Laundering (AML) Index </w:t>
      </w:r>
      <w:r w:rsidRPr="00444F37">
        <w:rPr>
          <w:rFonts w:ascii="Times New Roman" w:hAnsi="Times New Roman" w:cs="Times New Roman"/>
          <w:sz w:val="16"/>
          <w:szCs w:val="16"/>
          <w:lang w:val="uk-UA"/>
        </w:rPr>
        <w:t xml:space="preserve">2012-2017 </w:t>
      </w:r>
      <w:hyperlink r:id="rId6" w:history="1">
        <w:r w:rsidRPr="00444F37">
          <w:rPr>
            <w:rStyle w:val="a4"/>
            <w:rFonts w:ascii="Times New Roman" w:hAnsi="Times New Roman" w:cs="Times New Roman"/>
            <w:color w:val="auto"/>
            <w:sz w:val="16"/>
            <w:szCs w:val="16"/>
            <w:u w:val="none"/>
            <w:lang w:val="uk-UA"/>
          </w:rPr>
          <w:t>https://index.baselgovernance.org</w:t>
        </w:r>
      </w:hyperlink>
      <w:r>
        <w:rPr>
          <w:rStyle w:val="a4"/>
          <w:rFonts w:ascii="Times New Roman" w:hAnsi="Times New Roman" w:cs="Times New Roman"/>
          <w:color w:val="auto"/>
          <w:sz w:val="16"/>
          <w:szCs w:val="16"/>
          <w:u w:val="none"/>
          <w:lang w:val="uk-UA"/>
        </w:rPr>
        <w:t>.</w:t>
      </w:r>
    </w:p>
  </w:footnote>
  <w:footnote w:id="12">
    <w:p w:rsidR="00444F37" w:rsidRPr="00444F37" w:rsidRDefault="00444F37">
      <w:pPr>
        <w:pStyle w:val="a8"/>
        <w:rPr>
          <w:lang w:val="uk-UA"/>
        </w:rPr>
      </w:pPr>
      <w:r>
        <w:rPr>
          <w:rStyle w:val="aa"/>
        </w:rPr>
        <w:footnoteRef/>
      </w:r>
      <w:r w:rsidRPr="00444F37">
        <w:rPr>
          <w:lang w:val="en-US"/>
        </w:rPr>
        <w:t xml:space="preserve"> </w:t>
      </w:r>
      <w:r w:rsidRPr="000E1DEE">
        <w:rPr>
          <w:rFonts w:ascii="Times New Roman" w:hAnsi="Times New Roman" w:cs="Times New Roman"/>
          <w:sz w:val="16"/>
          <w:szCs w:val="16"/>
          <w:lang w:val="uk-UA"/>
        </w:rPr>
        <w:t xml:space="preserve">FATF </w:t>
      </w:r>
      <w:proofErr w:type="spellStart"/>
      <w:r w:rsidRPr="000E1DEE">
        <w:rPr>
          <w:rFonts w:ascii="Times New Roman" w:hAnsi="Times New Roman" w:cs="Times New Roman"/>
          <w:sz w:val="16"/>
          <w:szCs w:val="16"/>
          <w:lang w:val="uk-UA"/>
        </w:rPr>
        <w:t>Repo</w:t>
      </w:r>
      <w:proofErr w:type="spellEnd"/>
      <w:r w:rsidRPr="000E1DEE">
        <w:rPr>
          <w:rFonts w:ascii="Times New Roman" w:hAnsi="Times New Roman" w:cs="Times New Roman"/>
          <w:sz w:val="16"/>
          <w:szCs w:val="16"/>
          <w:lang w:val="en-US"/>
        </w:rPr>
        <w:t>r</w:t>
      </w:r>
      <w:r w:rsidRPr="000E1DEE">
        <w:rPr>
          <w:rFonts w:ascii="Times New Roman" w:hAnsi="Times New Roman" w:cs="Times New Roman"/>
          <w:sz w:val="16"/>
          <w:szCs w:val="16"/>
          <w:lang w:val="uk-UA"/>
        </w:rPr>
        <w:t xml:space="preserve">t. </w:t>
      </w:r>
      <w:proofErr w:type="spellStart"/>
      <w:r w:rsidRPr="000E1DEE">
        <w:rPr>
          <w:rFonts w:ascii="Times New Roman" w:hAnsi="Times New Roman" w:cs="Times New Roman"/>
          <w:sz w:val="16"/>
          <w:szCs w:val="16"/>
          <w:lang w:val="uk-UA"/>
        </w:rPr>
        <w:t>Specific</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Risk</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Factors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in</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the</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Laundering</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Proceeds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Corruption</w:t>
      </w:r>
      <w:proofErr w:type="spellEnd"/>
      <w:r w:rsidRPr="000E1DEE">
        <w:rPr>
          <w:rFonts w:ascii="Times New Roman" w:hAnsi="Times New Roman" w:cs="Times New Roman"/>
          <w:sz w:val="16"/>
          <w:szCs w:val="16"/>
          <w:lang w:val="uk-UA"/>
        </w:rPr>
        <w:t xml:space="preserve">: </w:t>
      </w:r>
      <w:r w:rsidRPr="000E1DEE">
        <w:rPr>
          <w:rFonts w:ascii="Times New Roman" w:hAnsi="Times New Roman" w:cs="Times New Roman"/>
          <w:sz w:val="16"/>
          <w:szCs w:val="16"/>
          <w:lang w:val="en-US"/>
        </w:rPr>
        <w:t xml:space="preserve">Assistance To Reporting Institutions, June </w:t>
      </w:r>
      <w:r w:rsidRPr="000E1DEE">
        <w:rPr>
          <w:rFonts w:ascii="Times New Roman" w:hAnsi="Times New Roman" w:cs="Times New Roman"/>
          <w:sz w:val="16"/>
          <w:szCs w:val="16"/>
          <w:lang w:val="uk-UA"/>
        </w:rPr>
        <w:t>2012</w:t>
      </w:r>
      <w:r w:rsidRPr="000E1DEE">
        <w:rPr>
          <w:rFonts w:ascii="Times New Roman" w:hAnsi="Times New Roman" w:cs="Times New Roman"/>
          <w:sz w:val="16"/>
          <w:szCs w:val="16"/>
          <w:lang w:val="en-US"/>
        </w:rPr>
        <w:t>.</w:t>
      </w:r>
    </w:p>
  </w:footnote>
  <w:footnote w:id="13">
    <w:p w:rsidR="00602C4A" w:rsidRPr="00602C4A" w:rsidRDefault="00602C4A">
      <w:pPr>
        <w:pStyle w:val="a8"/>
        <w:rPr>
          <w:lang w:val="uk-UA"/>
        </w:rPr>
      </w:pPr>
      <w:r>
        <w:rPr>
          <w:rStyle w:val="aa"/>
        </w:rPr>
        <w:footnoteRef/>
      </w:r>
      <w:r w:rsidRPr="00602C4A">
        <w:rPr>
          <w:lang w:val="en-US"/>
        </w:rPr>
        <w:t xml:space="preserve"> </w:t>
      </w:r>
      <w:r w:rsidRPr="00795D66">
        <w:rPr>
          <w:rFonts w:ascii="Times New Roman" w:hAnsi="Times New Roman" w:cs="Times New Roman"/>
          <w:sz w:val="16"/>
          <w:szCs w:val="16"/>
          <w:lang w:val="en-US"/>
        </w:rPr>
        <w:t>The FATF Recommendations: International Standards on Combating Money Laundering and the Financing Terrorism and Proliferation / Adopted by The FATF Plenary in February 2012, updated June 2017</w:t>
      </w:r>
      <w:r>
        <w:rPr>
          <w:rFonts w:ascii="Times New Roman" w:hAnsi="Times New Roman" w:cs="Times New Roman"/>
          <w:sz w:val="16"/>
          <w:szCs w:val="16"/>
          <w:lang w:val="uk-UA"/>
        </w:rPr>
        <w:t>.</w:t>
      </w:r>
    </w:p>
  </w:footnote>
  <w:footnote w:id="14">
    <w:p w:rsidR="00602C4A" w:rsidRPr="00602C4A" w:rsidRDefault="00602C4A">
      <w:pPr>
        <w:pStyle w:val="a8"/>
        <w:rPr>
          <w:lang w:val="uk-UA"/>
        </w:rPr>
      </w:pPr>
      <w:r>
        <w:rPr>
          <w:rStyle w:val="aa"/>
        </w:rPr>
        <w:footnoteRef/>
      </w:r>
      <w:r w:rsidRPr="00602C4A">
        <w:rPr>
          <w:lang w:val="en-US"/>
        </w:rPr>
        <w:t xml:space="preserve"> </w:t>
      </w:r>
      <w:r w:rsidRPr="000E1DEE">
        <w:rPr>
          <w:rFonts w:ascii="Times New Roman" w:hAnsi="Times New Roman" w:cs="Times New Roman"/>
          <w:sz w:val="16"/>
          <w:szCs w:val="16"/>
          <w:lang w:val="uk-UA"/>
        </w:rPr>
        <w:t xml:space="preserve">FATF </w:t>
      </w:r>
      <w:proofErr w:type="spellStart"/>
      <w:r w:rsidRPr="000E1DEE">
        <w:rPr>
          <w:rFonts w:ascii="Times New Roman" w:hAnsi="Times New Roman" w:cs="Times New Roman"/>
          <w:sz w:val="16"/>
          <w:szCs w:val="16"/>
          <w:lang w:val="uk-UA"/>
        </w:rPr>
        <w:t>Repo</w:t>
      </w:r>
      <w:proofErr w:type="spellEnd"/>
      <w:r w:rsidRPr="000E1DEE">
        <w:rPr>
          <w:rFonts w:ascii="Times New Roman" w:hAnsi="Times New Roman" w:cs="Times New Roman"/>
          <w:sz w:val="16"/>
          <w:szCs w:val="16"/>
          <w:lang w:val="en-US"/>
        </w:rPr>
        <w:t>r</w:t>
      </w:r>
      <w:r w:rsidRPr="000E1DEE">
        <w:rPr>
          <w:rFonts w:ascii="Times New Roman" w:hAnsi="Times New Roman" w:cs="Times New Roman"/>
          <w:sz w:val="16"/>
          <w:szCs w:val="16"/>
          <w:lang w:val="uk-UA"/>
        </w:rPr>
        <w:t xml:space="preserve">t. </w:t>
      </w:r>
      <w:proofErr w:type="spellStart"/>
      <w:r w:rsidRPr="000E1DEE">
        <w:rPr>
          <w:rFonts w:ascii="Times New Roman" w:hAnsi="Times New Roman" w:cs="Times New Roman"/>
          <w:sz w:val="16"/>
          <w:szCs w:val="16"/>
          <w:lang w:val="uk-UA"/>
        </w:rPr>
        <w:t>Specific</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Risk</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Factors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in</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the</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Laundering</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Proceeds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Corruption</w:t>
      </w:r>
      <w:proofErr w:type="spellEnd"/>
      <w:r w:rsidRPr="000E1DEE">
        <w:rPr>
          <w:rFonts w:ascii="Times New Roman" w:hAnsi="Times New Roman" w:cs="Times New Roman"/>
          <w:sz w:val="16"/>
          <w:szCs w:val="16"/>
          <w:lang w:val="uk-UA"/>
        </w:rPr>
        <w:t xml:space="preserve">: </w:t>
      </w:r>
      <w:r w:rsidRPr="000E1DEE">
        <w:rPr>
          <w:rFonts w:ascii="Times New Roman" w:hAnsi="Times New Roman" w:cs="Times New Roman"/>
          <w:sz w:val="16"/>
          <w:szCs w:val="16"/>
          <w:lang w:val="en-US"/>
        </w:rPr>
        <w:t xml:space="preserve">Assistance To Reporting Institutions, June </w:t>
      </w:r>
      <w:r w:rsidRPr="000E1DEE">
        <w:rPr>
          <w:rFonts w:ascii="Times New Roman" w:hAnsi="Times New Roman" w:cs="Times New Roman"/>
          <w:sz w:val="16"/>
          <w:szCs w:val="16"/>
          <w:lang w:val="uk-UA"/>
        </w:rPr>
        <w:t>2012</w:t>
      </w:r>
      <w:r>
        <w:rPr>
          <w:rFonts w:ascii="Times New Roman" w:hAnsi="Times New Roman" w:cs="Times New Roman"/>
          <w:sz w:val="16"/>
          <w:szCs w:val="16"/>
          <w:lang w:val="en-US"/>
        </w:rPr>
        <w:t>, p. 22.</w:t>
      </w:r>
    </w:p>
  </w:footnote>
  <w:footnote w:id="15">
    <w:p w:rsidR="00602C4A" w:rsidRPr="00602C4A" w:rsidRDefault="00602C4A">
      <w:pPr>
        <w:pStyle w:val="a8"/>
        <w:rPr>
          <w:lang w:val="en-US"/>
        </w:rPr>
      </w:pPr>
      <w:r>
        <w:rPr>
          <w:rStyle w:val="aa"/>
        </w:rPr>
        <w:footnoteRef/>
      </w:r>
      <w:r w:rsidRPr="00602C4A">
        <w:rPr>
          <w:lang w:val="en-US"/>
        </w:rPr>
        <w:t xml:space="preserve"> </w:t>
      </w:r>
      <w:r w:rsidRPr="00795D66">
        <w:rPr>
          <w:rFonts w:ascii="Times New Roman" w:hAnsi="Times New Roman" w:cs="Times New Roman"/>
          <w:sz w:val="16"/>
          <w:szCs w:val="16"/>
          <w:lang w:val="en-US"/>
        </w:rPr>
        <w:t>The FATF Recommendations: International Standards on Combating Money Laundering and the Financing Terrorism and Proliferation / Adopted by The FATF Plenary in February 2012, updated June 2017</w:t>
      </w:r>
      <w:r>
        <w:rPr>
          <w:rFonts w:ascii="Times New Roman" w:hAnsi="Times New Roman" w:cs="Times New Roman"/>
          <w:sz w:val="16"/>
          <w:szCs w:val="16"/>
          <w:lang w:val="uk-UA"/>
        </w:rPr>
        <w:t>.</w:t>
      </w:r>
    </w:p>
  </w:footnote>
  <w:footnote w:id="16">
    <w:p w:rsidR="00602C4A" w:rsidRPr="00602C4A" w:rsidRDefault="00602C4A">
      <w:pPr>
        <w:pStyle w:val="a8"/>
        <w:rPr>
          <w:lang w:val="en-US"/>
        </w:rPr>
      </w:pPr>
      <w:r>
        <w:rPr>
          <w:rStyle w:val="aa"/>
        </w:rPr>
        <w:footnoteRef/>
      </w:r>
      <w:r w:rsidRPr="00602C4A">
        <w:rPr>
          <w:lang w:val="en-US"/>
        </w:rPr>
        <w:t xml:space="preserve"> </w:t>
      </w:r>
      <w:r w:rsidRPr="000E1DEE">
        <w:rPr>
          <w:rFonts w:ascii="Times New Roman" w:hAnsi="Times New Roman" w:cs="Times New Roman"/>
          <w:sz w:val="16"/>
          <w:szCs w:val="16"/>
          <w:lang w:val="uk-UA"/>
        </w:rPr>
        <w:t xml:space="preserve">FATF </w:t>
      </w:r>
      <w:proofErr w:type="spellStart"/>
      <w:r w:rsidRPr="000E1DEE">
        <w:rPr>
          <w:rFonts w:ascii="Times New Roman" w:hAnsi="Times New Roman" w:cs="Times New Roman"/>
          <w:sz w:val="16"/>
          <w:szCs w:val="16"/>
          <w:lang w:val="uk-UA"/>
        </w:rPr>
        <w:t>Repo</w:t>
      </w:r>
      <w:proofErr w:type="spellEnd"/>
      <w:r w:rsidRPr="000E1DEE">
        <w:rPr>
          <w:rFonts w:ascii="Times New Roman" w:hAnsi="Times New Roman" w:cs="Times New Roman"/>
          <w:sz w:val="16"/>
          <w:szCs w:val="16"/>
          <w:lang w:val="en-US"/>
        </w:rPr>
        <w:t>r</w:t>
      </w:r>
      <w:r w:rsidRPr="000E1DEE">
        <w:rPr>
          <w:rFonts w:ascii="Times New Roman" w:hAnsi="Times New Roman" w:cs="Times New Roman"/>
          <w:sz w:val="16"/>
          <w:szCs w:val="16"/>
          <w:lang w:val="uk-UA"/>
        </w:rPr>
        <w:t xml:space="preserve">t. </w:t>
      </w:r>
      <w:proofErr w:type="spellStart"/>
      <w:r w:rsidRPr="000E1DEE">
        <w:rPr>
          <w:rFonts w:ascii="Times New Roman" w:hAnsi="Times New Roman" w:cs="Times New Roman"/>
          <w:sz w:val="16"/>
          <w:szCs w:val="16"/>
          <w:lang w:val="uk-UA"/>
        </w:rPr>
        <w:t>Specific</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Risk</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Factors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in</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the</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Laundering</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Proceeds</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of</w:t>
      </w:r>
      <w:proofErr w:type="spellEnd"/>
      <w:r w:rsidRPr="000E1DEE">
        <w:rPr>
          <w:rFonts w:ascii="Times New Roman" w:hAnsi="Times New Roman" w:cs="Times New Roman"/>
          <w:sz w:val="16"/>
          <w:szCs w:val="16"/>
          <w:lang w:val="uk-UA"/>
        </w:rPr>
        <w:t xml:space="preserve"> </w:t>
      </w:r>
      <w:proofErr w:type="spellStart"/>
      <w:r w:rsidRPr="000E1DEE">
        <w:rPr>
          <w:rFonts w:ascii="Times New Roman" w:hAnsi="Times New Roman" w:cs="Times New Roman"/>
          <w:sz w:val="16"/>
          <w:szCs w:val="16"/>
          <w:lang w:val="uk-UA"/>
        </w:rPr>
        <w:t>Corruption</w:t>
      </w:r>
      <w:proofErr w:type="spellEnd"/>
      <w:r w:rsidRPr="000E1DEE">
        <w:rPr>
          <w:rFonts w:ascii="Times New Roman" w:hAnsi="Times New Roman" w:cs="Times New Roman"/>
          <w:sz w:val="16"/>
          <w:szCs w:val="16"/>
          <w:lang w:val="uk-UA"/>
        </w:rPr>
        <w:t xml:space="preserve">: </w:t>
      </w:r>
      <w:r w:rsidRPr="000E1DEE">
        <w:rPr>
          <w:rFonts w:ascii="Times New Roman" w:hAnsi="Times New Roman" w:cs="Times New Roman"/>
          <w:sz w:val="16"/>
          <w:szCs w:val="16"/>
          <w:lang w:val="en-US"/>
        </w:rPr>
        <w:t xml:space="preserve">Assistance To Reporting Institutions, June </w:t>
      </w:r>
      <w:r w:rsidRPr="000E1DEE">
        <w:rPr>
          <w:rFonts w:ascii="Times New Roman" w:hAnsi="Times New Roman" w:cs="Times New Roman"/>
          <w:sz w:val="16"/>
          <w:szCs w:val="16"/>
          <w:lang w:val="uk-UA"/>
        </w:rPr>
        <w:t>2012</w:t>
      </w:r>
      <w:r>
        <w:rPr>
          <w:rFonts w:ascii="Times New Roman" w:hAnsi="Times New Roman" w:cs="Times New Roman"/>
          <w:sz w:val="16"/>
          <w:szCs w:val="16"/>
          <w:lang w:val="en-US"/>
        </w:rPr>
        <w:t>.</w:t>
      </w:r>
    </w:p>
  </w:footnote>
  <w:footnote w:id="17">
    <w:p w:rsidR="00A00A5C" w:rsidRPr="00A00A5C" w:rsidRDefault="00A00A5C" w:rsidP="00A00A5C">
      <w:pPr>
        <w:widowControl w:val="0"/>
        <w:tabs>
          <w:tab w:val="left" w:pos="1134"/>
        </w:tabs>
        <w:jc w:val="both"/>
      </w:pPr>
      <w:r w:rsidRPr="00A00A5C">
        <w:rPr>
          <w:rStyle w:val="aa"/>
          <w:sz w:val="20"/>
          <w:szCs w:val="20"/>
        </w:rPr>
        <w:footnoteRef/>
      </w:r>
      <w:r>
        <w:t xml:space="preserve"> </w:t>
      </w:r>
      <w:r w:rsidRPr="00A00A5C">
        <w:rPr>
          <w:rFonts w:ascii="Times New Roman" w:hAnsi="Times New Roman" w:cs="Times New Roman"/>
          <w:sz w:val="16"/>
          <w:szCs w:val="16"/>
          <w:lang w:val="uk-UA"/>
        </w:rPr>
        <w:t>Грошово-кредитна та фінансова статистика: Показники грошово-кредитної політики Національного банку України: грошова база. [Електронний ресурс]. – Режим доступу:</w:t>
      </w:r>
      <w:r w:rsidRPr="00A00A5C">
        <w:rPr>
          <w:rFonts w:ascii="Times New Roman" w:hAnsi="Times New Roman" w:cs="Times New Roman"/>
          <w:sz w:val="16"/>
          <w:szCs w:val="16"/>
        </w:rPr>
        <w:t xml:space="preserve"> </w:t>
      </w:r>
      <w:hyperlink r:id="rId7" w:anchor="1" w:history="1">
        <w:r w:rsidRPr="00A00A5C">
          <w:rPr>
            <w:rStyle w:val="a4"/>
            <w:rFonts w:ascii="Times New Roman" w:hAnsi="Times New Roman" w:cs="Times New Roman"/>
            <w:color w:val="auto"/>
            <w:sz w:val="16"/>
            <w:szCs w:val="16"/>
            <w:u w:val="none"/>
            <w:lang w:val="en-US"/>
          </w:rPr>
          <w:t>https</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bank</w:t>
        </w:r>
        <w:r w:rsidRPr="00A00A5C">
          <w:rPr>
            <w:rStyle w:val="a4"/>
            <w:rFonts w:ascii="Times New Roman" w:hAnsi="Times New Roman" w:cs="Times New Roman"/>
            <w:color w:val="auto"/>
            <w:sz w:val="16"/>
            <w:szCs w:val="16"/>
            <w:u w:val="none"/>
          </w:rPr>
          <w:t>.</w:t>
        </w:r>
        <w:proofErr w:type="spellStart"/>
        <w:r w:rsidRPr="00A00A5C">
          <w:rPr>
            <w:rStyle w:val="a4"/>
            <w:rFonts w:ascii="Times New Roman" w:hAnsi="Times New Roman" w:cs="Times New Roman"/>
            <w:color w:val="auto"/>
            <w:sz w:val="16"/>
            <w:szCs w:val="16"/>
            <w:u w:val="none"/>
            <w:lang w:val="en-US"/>
          </w:rPr>
          <w:t>gov</w:t>
        </w:r>
        <w:proofErr w:type="spellEnd"/>
        <w:r w:rsidRPr="00A00A5C">
          <w:rPr>
            <w:rStyle w:val="a4"/>
            <w:rFonts w:ascii="Times New Roman" w:hAnsi="Times New Roman" w:cs="Times New Roman"/>
            <w:color w:val="auto"/>
            <w:sz w:val="16"/>
            <w:szCs w:val="16"/>
            <w:u w:val="none"/>
          </w:rPr>
          <w:t>.</w:t>
        </w:r>
        <w:proofErr w:type="spellStart"/>
        <w:r w:rsidRPr="00A00A5C">
          <w:rPr>
            <w:rStyle w:val="a4"/>
            <w:rFonts w:ascii="Times New Roman" w:hAnsi="Times New Roman" w:cs="Times New Roman"/>
            <w:color w:val="auto"/>
            <w:sz w:val="16"/>
            <w:szCs w:val="16"/>
            <w:u w:val="none"/>
            <w:lang w:val="en-US"/>
          </w:rPr>
          <w:t>ua</w:t>
        </w:r>
        <w:proofErr w:type="spellEnd"/>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control</w:t>
        </w:r>
        <w:r w:rsidRPr="00A00A5C">
          <w:rPr>
            <w:rStyle w:val="a4"/>
            <w:rFonts w:ascii="Times New Roman" w:hAnsi="Times New Roman" w:cs="Times New Roman"/>
            <w:color w:val="auto"/>
            <w:sz w:val="16"/>
            <w:szCs w:val="16"/>
            <w:u w:val="none"/>
          </w:rPr>
          <w:t>/</w:t>
        </w:r>
        <w:proofErr w:type="spellStart"/>
        <w:r w:rsidRPr="00A00A5C">
          <w:rPr>
            <w:rStyle w:val="a4"/>
            <w:rFonts w:ascii="Times New Roman" w:hAnsi="Times New Roman" w:cs="Times New Roman"/>
            <w:color w:val="auto"/>
            <w:sz w:val="16"/>
            <w:szCs w:val="16"/>
            <w:u w:val="none"/>
            <w:lang w:val="en-US"/>
          </w:rPr>
          <w:t>uk</w:t>
        </w:r>
        <w:proofErr w:type="spellEnd"/>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publish</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article</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art</w:t>
        </w:r>
        <w:r w:rsidRPr="00A00A5C">
          <w:rPr>
            <w:rStyle w:val="a4"/>
            <w:rFonts w:ascii="Times New Roman" w:hAnsi="Times New Roman" w:cs="Times New Roman"/>
            <w:color w:val="auto"/>
            <w:sz w:val="16"/>
            <w:szCs w:val="16"/>
            <w:u w:val="none"/>
          </w:rPr>
          <w:t>_</w:t>
        </w:r>
        <w:r w:rsidRPr="00A00A5C">
          <w:rPr>
            <w:rStyle w:val="a4"/>
            <w:rFonts w:ascii="Times New Roman" w:hAnsi="Times New Roman" w:cs="Times New Roman"/>
            <w:color w:val="auto"/>
            <w:sz w:val="16"/>
            <w:szCs w:val="16"/>
            <w:u w:val="none"/>
            <w:lang w:val="en-US"/>
          </w:rPr>
          <w:t>id</w:t>
        </w:r>
        <w:r w:rsidRPr="00A00A5C">
          <w:rPr>
            <w:rStyle w:val="a4"/>
            <w:rFonts w:ascii="Times New Roman" w:hAnsi="Times New Roman" w:cs="Times New Roman"/>
            <w:color w:val="auto"/>
            <w:sz w:val="16"/>
            <w:szCs w:val="16"/>
            <w:u w:val="none"/>
          </w:rPr>
          <w:t>=27843415&amp;</w:t>
        </w:r>
        <w:r w:rsidRPr="00A00A5C">
          <w:rPr>
            <w:rStyle w:val="a4"/>
            <w:rFonts w:ascii="Times New Roman" w:hAnsi="Times New Roman" w:cs="Times New Roman"/>
            <w:color w:val="auto"/>
            <w:sz w:val="16"/>
            <w:szCs w:val="16"/>
            <w:u w:val="none"/>
            <w:lang w:val="en-US"/>
          </w:rPr>
          <w:t>cat</w:t>
        </w:r>
        <w:r w:rsidRPr="00A00A5C">
          <w:rPr>
            <w:rStyle w:val="a4"/>
            <w:rFonts w:ascii="Times New Roman" w:hAnsi="Times New Roman" w:cs="Times New Roman"/>
            <w:color w:val="auto"/>
            <w:sz w:val="16"/>
            <w:szCs w:val="16"/>
            <w:u w:val="none"/>
          </w:rPr>
          <w:t>_</w:t>
        </w:r>
        <w:r w:rsidRPr="00A00A5C">
          <w:rPr>
            <w:rStyle w:val="a4"/>
            <w:rFonts w:ascii="Times New Roman" w:hAnsi="Times New Roman" w:cs="Times New Roman"/>
            <w:color w:val="auto"/>
            <w:sz w:val="16"/>
            <w:szCs w:val="16"/>
            <w:u w:val="none"/>
            <w:lang w:val="en-US"/>
          </w:rPr>
          <w:t>id</w:t>
        </w:r>
        <w:r w:rsidRPr="00A00A5C">
          <w:rPr>
            <w:rStyle w:val="a4"/>
            <w:rFonts w:ascii="Times New Roman" w:hAnsi="Times New Roman" w:cs="Times New Roman"/>
            <w:color w:val="auto"/>
            <w:sz w:val="16"/>
            <w:szCs w:val="16"/>
            <w:u w:val="none"/>
          </w:rPr>
          <w:t>=44578#1</w:t>
        </w:r>
      </w:hyperlink>
      <w:r w:rsidRPr="00A00A5C">
        <w:rPr>
          <w:rFonts w:ascii="Times New Roman" w:hAnsi="Times New Roman" w:cs="Times New Roman"/>
          <w:sz w:val="16"/>
          <w:szCs w:val="16"/>
          <w:lang w:val="uk-UA"/>
        </w:rPr>
        <w:t>.</w:t>
      </w:r>
    </w:p>
  </w:footnote>
  <w:footnote w:id="18">
    <w:p w:rsidR="00A00A5C" w:rsidRPr="00A00A5C" w:rsidRDefault="00A00A5C" w:rsidP="00A00A5C">
      <w:pPr>
        <w:widowControl w:val="0"/>
        <w:tabs>
          <w:tab w:val="left" w:pos="1134"/>
        </w:tabs>
        <w:jc w:val="both"/>
      </w:pPr>
      <w:r w:rsidRPr="00A00A5C">
        <w:rPr>
          <w:rStyle w:val="aa"/>
          <w:rFonts w:ascii="Times New Roman" w:hAnsi="Times New Roman" w:cs="Times New Roman"/>
          <w:sz w:val="20"/>
          <w:szCs w:val="20"/>
        </w:rPr>
        <w:footnoteRef/>
      </w:r>
      <w:r w:rsidRPr="00A00A5C">
        <w:rPr>
          <w:rFonts w:ascii="Times New Roman" w:hAnsi="Times New Roman" w:cs="Times New Roman"/>
          <w:sz w:val="20"/>
          <w:szCs w:val="20"/>
        </w:rPr>
        <w:t xml:space="preserve"> </w:t>
      </w:r>
      <w:hyperlink r:id="rId8" w:anchor="Зміст!A1" w:history="1">
        <w:r w:rsidRPr="00A00A5C">
          <w:rPr>
            <w:rFonts w:ascii="Times New Roman" w:eastAsia="Times New Roman" w:hAnsi="Times New Roman" w:cs="Times New Roman"/>
            <w:bCs/>
            <w:sz w:val="16"/>
            <w:szCs w:val="16"/>
            <w:lang w:eastAsia="ru-RU"/>
          </w:rPr>
          <w:t>Грошово-кредитна статистика</w:t>
        </w:r>
      </w:hyperlink>
      <w:r w:rsidRPr="00A00A5C">
        <w:rPr>
          <w:rFonts w:ascii="Times New Roman" w:eastAsia="Times New Roman" w:hAnsi="Times New Roman" w:cs="Times New Roman"/>
          <w:bCs/>
          <w:sz w:val="16"/>
          <w:szCs w:val="16"/>
          <w:lang w:val="uk-UA" w:eastAsia="ru-RU"/>
        </w:rPr>
        <w:t>:</w:t>
      </w:r>
      <w:r w:rsidRPr="00A00A5C">
        <w:rPr>
          <w:rFonts w:ascii="Times New Roman" w:eastAsia="Times New Roman" w:hAnsi="Times New Roman" w:cs="Times New Roman"/>
          <w:bCs/>
          <w:sz w:val="16"/>
          <w:szCs w:val="16"/>
          <w:lang w:eastAsia="ru-RU"/>
        </w:rPr>
        <w:t xml:space="preserve"> </w:t>
      </w:r>
      <w:r w:rsidRPr="00A00A5C">
        <w:rPr>
          <w:rFonts w:ascii="Times New Roman" w:eastAsia="Times New Roman" w:hAnsi="Times New Roman" w:cs="Times New Roman"/>
          <w:bCs/>
          <w:sz w:val="16"/>
          <w:szCs w:val="16"/>
          <w:lang w:val="uk-UA" w:eastAsia="ru-RU"/>
        </w:rPr>
        <w:t xml:space="preserve">огляди фінансових корпорацій: грошові агрегати та кореспондуючі статті Огляду депозитних корпорацій. </w:t>
      </w:r>
      <w:r w:rsidRPr="00A00A5C">
        <w:rPr>
          <w:rFonts w:ascii="Times New Roman" w:hAnsi="Times New Roman" w:cs="Times New Roman"/>
          <w:sz w:val="16"/>
          <w:szCs w:val="16"/>
          <w:lang w:val="uk-UA"/>
        </w:rPr>
        <w:t>[Електронний ресурс]. – Режим доступу:</w:t>
      </w:r>
      <w:r w:rsidRPr="00A00A5C">
        <w:rPr>
          <w:rFonts w:ascii="Times New Roman" w:hAnsi="Times New Roman" w:cs="Times New Roman"/>
          <w:sz w:val="16"/>
          <w:szCs w:val="16"/>
        </w:rPr>
        <w:t xml:space="preserve"> </w:t>
      </w:r>
      <w:hyperlink r:id="rId9" w:anchor="1" w:history="1">
        <w:r w:rsidRPr="00A00A5C">
          <w:rPr>
            <w:rStyle w:val="a4"/>
            <w:rFonts w:ascii="Times New Roman" w:hAnsi="Times New Roman" w:cs="Times New Roman"/>
            <w:color w:val="auto"/>
            <w:sz w:val="16"/>
            <w:szCs w:val="16"/>
            <w:u w:val="none"/>
            <w:lang w:val="en-US"/>
          </w:rPr>
          <w:t>https</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bank</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gov</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ua</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control</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uk</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publish</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article</w:t>
        </w:r>
        <w:r w:rsidRPr="00A00A5C">
          <w:rPr>
            <w:rStyle w:val="a4"/>
            <w:rFonts w:ascii="Times New Roman" w:hAnsi="Times New Roman" w:cs="Times New Roman"/>
            <w:color w:val="auto"/>
            <w:sz w:val="16"/>
            <w:szCs w:val="16"/>
            <w:u w:val="none"/>
          </w:rPr>
          <w:t>?</w:t>
        </w:r>
        <w:r w:rsidRPr="00A00A5C">
          <w:rPr>
            <w:rStyle w:val="a4"/>
            <w:rFonts w:ascii="Times New Roman" w:hAnsi="Times New Roman" w:cs="Times New Roman"/>
            <w:color w:val="auto"/>
            <w:sz w:val="16"/>
            <w:szCs w:val="16"/>
            <w:u w:val="none"/>
            <w:lang w:val="en-US"/>
          </w:rPr>
          <w:t>art</w:t>
        </w:r>
        <w:r w:rsidRPr="00A00A5C">
          <w:rPr>
            <w:rStyle w:val="a4"/>
            <w:rFonts w:ascii="Times New Roman" w:hAnsi="Times New Roman" w:cs="Times New Roman"/>
            <w:color w:val="auto"/>
            <w:sz w:val="16"/>
            <w:szCs w:val="16"/>
            <w:u w:val="none"/>
          </w:rPr>
          <w:t>_</w:t>
        </w:r>
        <w:r w:rsidRPr="00A00A5C">
          <w:rPr>
            <w:rStyle w:val="a4"/>
            <w:rFonts w:ascii="Times New Roman" w:hAnsi="Times New Roman" w:cs="Times New Roman"/>
            <w:color w:val="auto"/>
            <w:sz w:val="16"/>
            <w:szCs w:val="16"/>
            <w:u w:val="none"/>
            <w:lang w:val="en-US"/>
          </w:rPr>
          <w:t>id</w:t>
        </w:r>
        <w:r w:rsidRPr="00A00A5C">
          <w:rPr>
            <w:rStyle w:val="a4"/>
            <w:rFonts w:ascii="Times New Roman" w:hAnsi="Times New Roman" w:cs="Times New Roman"/>
            <w:color w:val="auto"/>
            <w:sz w:val="16"/>
            <w:szCs w:val="16"/>
            <w:u w:val="none"/>
          </w:rPr>
          <w:t>=27843415&amp;</w:t>
        </w:r>
        <w:r w:rsidRPr="00A00A5C">
          <w:rPr>
            <w:rStyle w:val="a4"/>
            <w:rFonts w:ascii="Times New Roman" w:hAnsi="Times New Roman" w:cs="Times New Roman"/>
            <w:color w:val="auto"/>
            <w:sz w:val="16"/>
            <w:szCs w:val="16"/>
            <w:u w:val="none"/>
            <w:lang w:val="en-US"/>
          </w:rPr>
          <w:t>cat</w:t>
        </w:r>
        <w:r w:rsidRPr="00A00A5C">
          <w:rPr>
            <w:rStyle w:val="a4"/>
            <w:rFonts w:ascii="Times New Roman" w:hAnsi="Times New Roman" w:cs="Times New Roman"/>
            <w:color w:val="auto"/>
            <w:sz w:val="16"/>
            <w:szCs w:val="16"/>
            <w:u w:val="none"/>
          </w:rPr>
          <w:t>_</w:t>
        </w:r>
        <w:r w:rsidRPr="00A00A5C">
          <w:rPr>
            <w:rStyle w:val="a4"/>
            <w:rFonts w:ascii="Times New Roman" w:hAnsi="Times New Roman" w:cs="Times New Roman"/>
            <w:color w:val="auto"/>
            <w:sz w:val="16"/>
            <w:szCs w:val="16"/>
            <w:u w:val="none"/>
            <w:lang w:val="en-US"/>
          </w:rPr>
          <w:t>id</w:t>
        </w:r>
        <w:r w:rsidRPr="00A00A5C">
          <w:rPr>
            <w:rStyle w:val="a4"/>
            <w:rFonts w:ascii="Times New Roman" w:hAnsi="Times New Roman" w:cs="Times New Roman"/>
            <w:color w:val="auto"/>
            <w:sz w:val="16"/>
            <w:szCs w:val="16"/>
            <w:u w:val="none"/>
          </w:rPr>
          <w:t>=44578#1</w:t>
        </w:r>
      </w:hyperlink>
      <w:r w:rsidRPr="00A00A5C">
        <w:rPr>
          <w:rFonts w:ascii="Times New Roman" w:hAnsi="Times New Roman" w:cs="Times New Roman"/>
          <w:sz w:val="16"/>
          <w:szCs w:val="16"/>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1FD8"/>
    <w:multiLevelType w:val="hybridMultilevel"/>
    <w:tmpl w:val="6A7A5D36"/>
    <w:lvl w:ilvl="0" w:tplc="8BB424AE">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3666FC8"/>
    <w:multiLevelType w:val="hybridMultilevel"/>
    <w:tmpl w:val="F4922A04"/>
    <w:lvl w:ilvl="0" w:tplc="D318B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36C51"/>
    <w:multiLevelType w:val="hybridMultilevel"/>
    <w:tmpl w:val="7D8868DA"/>
    <w:lvl w:ilvl="0" w:tplc="85625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FD52C4"/>
    <w:multiLevelType w:val="hybridMultilevel"/>
    <w:tmpl w:val="D038871A"/>
    <w:lvl w:ilvl="0" w:tplc="C9D46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F41F71"/>
    <w:multiLevelType w:val="hybridMultilevel"/>
    <w:tmpl w:val="4C6E8ACA"/>
    <w:lvl w:ilvl="0" w:tplc="D8E68ED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5429C3"/>
    <w:multiLevelType w:val="hybridMultilevel"/>
    <w:tmpl w:val="1F24FE80"/>
    <w:lvl w:ilvl="0" w:tplc="13EED75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48"/>
    <w:rsid w:val="00000428"/>
    <w:rsid w:val="00012CFC"/>
    <w:rsid w:val="000140F5"/>
    <w:rsid w:val="0004193C"/>
    <w:rsid w:val="0004586F"/>
    <w:rsid w:val="000459DC"/>
    <w:rsid w:val="0005175A"/>
    <w:rsid w:val="00052E25"/>
    <w:rsid w:val="0005396C"/>
    <w:rsid w:val="000A1DED"/>
    <w:rsid w:val="000A3E5F"/>
    <w:rsid w:val="000C4DB9"/>
    <w:rsid w:val="000D4232"/>
    <w:rsid w:val="000D7FC9"/>
    <w:rsid w:val="000E1DEE"/>
    <w:rsid w:val="001156B6"/>
    <w:rsid w:val="00135A97"/>
    <w:rsid w:val="001427D7"/>
    <w:rsid w:val="00147116"/>
    <w:rsid w:val="001568F6"/>
    <w:rsid w:val="00161D48"/>
    <w:rsid w:val="001622E8"/>
    <w:rsid w:val="00166463"/>
    <w:rsid w:val="00171F23"/>
    <w:rsid w:val="001744B1"/>
    <w:rsid w:val="001757EC"/>
    <w:rsid w:val="001A22FA"/>
    <w:rsid w:val="001B34B5"/>
    <w:rsid w:val="001B4029"/>
    <w:rsid w:val="001D070A"/>
    <w:rsid w:val="001D5EAE"/>
    <w:rsid w:val="001F0E64"/>
    <w:rsid w:val="00203189"/>
    <w:rsid w:val="00205C66"/>
    <w:rsid w:val="0021259A"/>
    <w:rsid w:val="00213606"/>
    <w:rsid w:val="002145FA"/>
    <w:rsid w:val="00230269"/>
    <w:rsid w:val="00231479"/>
    <w:rsid w:val="002477FC"/>
    <w:rsid w:val="002726BE"/>
    <w:rsid w:val="00284E79"/>
    <w:rsid w:val="0029432C"/>
    <w:rsid w:val="00294BEC"/>
    <w:rsid w:val="002A627C"/>
    <w:rsid w:val="002A6CAB"/>
    <w:rsid w:val="002B1848"/>
    <w:rsid w:val="002C1631"/>
    <w:rsid w:val="002D104E"/>
    <w:rsid w:val="002D6102"/>
    <w:rsid w:val="002D6324"/>
    <w:rsid w:val="002F0E5E"/>
    <w:rsid w:val="002F4492"/>
    <w:rsid w:val="00315AF8"/>
    <w:rsid w:val="0036153D"/>
    <w:rsid w:val="0039208B"/>
    <w:rsid w:val="003A34A4"/>
    <w:rsid w:val="003B1813"/>
    <w:rsid w:val="003B4EED"/>
    <w:rsid w:val="003D0FDC"/>
    <w:rsid w:val="003D196B"/>
    <w:rsid w:val="003D2480"/>
    <w:rsid w:val="0040135B"/>
    <w:rsid w:val="00410D62"/>
    <w:rsid w:val="00425E11"/>
    <w:rsid w:val="00432217"/>
    <w:rsid w:val="0043302B"/>
    <w:rsid w:val="00440EF5"/>
    <w:rsid w:val="00444F37"/>
    <w:rsid w:val="00446968"/>
    <w:rsid w:val="00453ED7"/>
    <w:rsid w:val="00455C74"/>
    <w:rsid w:val="00456AF2"/>
    <w:rsid w:val="004577CE"/>
    <w:rsid w:val="004663DC"/>
    <w:rsid w:val="00496907"/>
    <w:rsid w:val="004B4F37"/>
    <w:rsid w:val="004E19E3"/>
    <w:rsid w:val="004E3918"/>
    <w:rsid w:val="004E40C8"/>
    <w:rsid w:val="0052487C"/>
    <w:rsid w:val="00525FC7"/>
    <w:rsid w:val="00537513"/>
    <w:rsid w:val="00552F87"/>
    <w:rsid w:val="005A0A72"/>
    <w:rsid w:val="005A5CE5"/>
    <w:rsid w:val="005A65FB"/>
    <w:rsid w:val="005B402A"/>
    <w:rsid w:val="005E0E48"/>
    <w:rsid w:val="005E2E8B"/>
    <w:rsid w:val="005F5EC1"/>
    <w:rsid w:val="00602C4A"/>
    <w:rsid w:val="006076DB"/>
    <w:rsid w:val="00663848"/>
    <w:rsid w:val="00697377"/>
    <w:rsid w:val="00697598"/>
    <w:rsid w:val="006A34D2"/>
    <w:rsid w:val="006A3BB8"/>
    <w:rsid w:val="006C04ED"/>
    <w:rsid w:val="006D5E0D"/>
    <w:rsid w:val="006F1191"/>
    <w:rsid w:val="00705915"/>
    <w:rsid w:val="0071667B"/>
    <w:rsid w:val="007316CE"/>
    <w:rsid w:val="00737CB5"/>
    <w:rsid w:val="0076119D"/>
    <w:rsid w:val="007632EF"/>
    <w:rsid w:val="0076594F"/>
    <w:rsid w:val="007662BB"/>
    <w:rsid w:val="00795D66"/>
    <w:rsid w:val="007A7B59"/>
    <w:rsid w:val="007C7697"/>
    <w:rsid w:val="007D0504"/>
    <w:rsid w:val="007D35E3"/>
    <w:rsid w:val="007D3C09"/>
    <w:rsid w:val="0081471B"/>
    <w:rsid w:val="00836F00"/>
    <w:rsid w:val="00861E26"/>
    <w:rsid w:val="008734D6"/>
    <w:rsid w:val="00883200"/>
    <w:rsid w:val="008925A4"/>
    <w:rsid w:val="008A045B"/>
    <w:rsid w:val="008A2990"/>
    <w:rsid w:val="008A38AA"/>
    <w:rsid w:val="008B3F55"/>
    <w:rsid w:val="008C01E2"/>
    <w:rsid w:val="008D1B96"/>
    <w:rsid w:val="008E34F9"/>
    <w:rsid w:val="008E73BC"/>
    <w:rsid w:val="008F1330"/>
    <w:rsid w:val="009153D9"/>
    <w:rsid w:val="009179FA"/>
    <w:rsid w:val="00954991"/>
    <w:rsid w:val="009867FF"/>
    <w:rsid w:val="009B402F"/>
    <w:rsid w:val="009B6207"/>
    <w:rsid w:val="009D1D39"/>
    <w:rsid w:val="009F7BED"/>
    <w:rsid w:val="00A00A5C"/>
    <w:rsid w:val="00A01BE6"/>
    <w:rsid w:val="00A23D1B"/>
    <w:rsid w:val="00A43BCE"/>
    <w:rsid w:val="00A45744"/>
    <w:rsid w:val="00A533FA"/>
    <w:rsid w:val="00A8042C"/>
    <w:rsid w:val="00A92528"/>
    <w:rsid w:val="00A92EFD"/>
    <w:rsid w:val="00A9517E"/>
    <w:rsid w:val="00AC0070"/>
    <w:rsid w:val="00AC5B06"/>
    <w:rsid w:val="00AE5524"/>
    <w:rsid w:val="00AE6834"/>
    <w:rsid w:val="00AF16CB"/>
    <w:rsid w:val="00B05078"/>
    <w:rsid w:val="00B32E27"/>
    <w:rsid w:val="00B55F15"/>
    <w:rsid w:val="00B637C0"/>
    <w:rsid w:val="00B72ED1"/>
    <w:rsid w:val="00BC42CC"/>
    <w:rsid w:val="00BC4F41"/>
    <w:rsid w:val="00C16B41"/>
    <w:rsid w:val="00C34492"/>
    <w:rsid w:val="00C52A8A"/>
    <w:rsid w:val="00C91E2C"/>
    <w:rsid w:val="00C97592"/>
    <w:rsid w:val="00CA69DF"/>
    <w:rsid w:val="00CC4FC4"/>
    <w:rsid w:val="00CC7CFB"/>
    <w:rsid w:val="00CD3C22"/>
    <w:rsid w:val="00CD7804"/>
    <w:rsid w:val="00CE00B9"/>
    <w:rsid w:val="00CE33C4"/>
    <w:rsid w:val="00CF1FDA"/>
    <w:rsid w:val="00CF6852"/>
    <w:rsid w:val="00D12C32"/>
    <w:rsid w:val="00D12E34"/>
    <w:rsid w:val="00D176C8"/>
    <w:rsid w:val="00D30E8E"/>
    <w:rsid w:val="00D331A6"/>
    <w:rsid w:val="00D358C2"/>
    <w:rsid w:val="00D36043"/>
    <w:rsid w:val="00D36F17"/>
    <w:rsid w:val="00D51FCA"/>
    <w:rsid w:val="00D62199"/>
    <w:rsid w:val="00D756A2"/>
    <w:rsid w:val="00D81D1F"/>
    <w:rsid w:val="00D842FD"/>
    <w:rsid w:val="00DA0118"/>
    <w:rsid w:val="00DA0EF0"/>
    <w:rsid w:val="00DA510B"/>
    <w:rsid w:val="00DA6CB5"/>
    <w:rsid w:val="00DB2757"/>
    <w:rsid w:val="00DB5D5C"/>
    <w:rsid w:val="00DF25B5"/>
    <w:rsid w:val="00DF2611"/>
    <w:rsid w:val="00E1243F"/>
    <w:rsid w:val="00E17C32"/>
    <w:rsid w:val="00E4509C"/>
    <w:rsid w:val="00E52D44"/>
    <w:rsid w:val="00E53521"/>
    <w:rsid w:val="00E66914"/>
    <w:rsid w:val="00E7542A"/>
    <w:rsid w:val="00EB3B0A"/>
    <w:rsid w:val="00F21F63"/>
    <w:rsid w:val="00F425DF"/>
    <w:rsid w:val="00F44DF7"/>
    <w:rsid w:val="00F47EDE"/>
    <w:rsid w:val="00F53760"/>
    <w:rsid w:val="00F61554"/>
    <w:rsid w:val="00F65C54"/>
    <w:rsid w:val="00F846A0"/>
    <w:rsid w:val="00F84C8A"/>
    <w:rsid w:val="00F8589F"/>
    <w:rsid w:val="00FB712F"/>
    <w:rsid w:val="00FC2AE8"/>
    <w:rsid w:val="00FD6E4F"/>
    <w:rsid w:val="00FE4648"/>
    <w:rsid w:val="00FE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163B8-62EB-40C7-A9FB-03ADD7C2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01E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1E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9208B"/>
    <w:pPr>
      <w:ind w:left="720"/>
      <w:contextualSpacing/>
    </w:pPr>
  </w:style>
  <w:style w:type="character" w:styleId="a4">
    <w:name w:val="Hyperlink"/>
    <w:basedOn w:val="a0"/>
    <w:uiPriority w:val="99"/>
    <w:unhideWhenUsed/>
    <w:rsid w:val="00F21F63"/>
    <w:rPr>
      <w:color w:val="0563C1" w:themeColor="hyperlink"/>
      <w:u w:val="single"/>
    </w:rPr>
  </w:style>
  <w:style w:type="paragraph" w:styleId="a5">
    <w:name w:val="Normal (Web)"/>
    <w:basedOn w:val="a"/>
    <w:uiPriority w:val="99"/>
    <w:semiHidden/>
    <w:unhideWhenUsed/>
    <w:rsid w:val="003B4EED"/>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1D070A"/>
    <w:rPr>
      <w:color w:val="954F72" w:themeColor="followedHyperlink"/>
      <w:u w:val="single"/>
    </w:rPr>
  </w:style>
  <w:style w:type="table" w:styleId="a7">
    <w:name w:val="Table Grid"/>
    <w:basedOn w:val="a1"/>
    <w:uiPriority w:val="39"/>
    <w:rsid w:val="00171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0E1DEE"/>
    <w:rPr>
      <w:sz w:val="20"/>
      <w:szCs w:val="20"/>
    </w:rPr>
  </w:style>
  <w:style w:type="character" w:customStyle="1" w:styleId="a9">
    <w:name w:val="Текст сноски Знак"/>
    <w:basedOn w:val="a0"/>
    <w:link w:val="a8"/>
    <w:uiPriority w:val="99"/>
    <w:semiHidden/>
    <w:rsid w:val="000E1DEE"/>
    <w:rPr>
      <w:sz w:val="20"/>
      <w:szCs w:val="20"/>
    </w:rPr>
  </w:style>
  <w:style w:type="character" w:styleId="aa">
    <w:name w:val="footnote reference"/>
    <w:basedOn w:val="a0"/>
    <w:uiPriority w:val="99"/>
    <w:semiHidden/>
    <w:unhideWhenUsed/>
    <w:rsid w:val="000E1DEE"/>
    <w:rPr>
      <w:vertAlign w:val="superscript"/>
    </w:rPr>
  </w:style>
  <w:style w:type="paragraph" w:styleId="ab">
    <w:name w:val="endnote text"/>
    <w:basedOn w:val="a"/>
    <w:link w:val="ac"/>
    <w:uiPriority w:val="99"/>
    <w:semiHidden/>
    <w:unhideWhenUsed/>
    <w:rsid w:val="00795D66"/>
    <w:rPr>
      <w:sz w:val="20"/>
      <w:szCs w:val="20"/>
    </w:rPr>
  </w:style>
  <w:style w:type="character" w:customStyle="1" w:styleId="ac">
    <w:name w:val="Текст концевой сноски Знак"/>
    <w:basedOn w:val="a0"/>
    <w:link w:val="ab"/>
    <w:uiPriority w:val="99"/>
    <w:semiHidden/>
    <w:rsid w:val="00795D66"/>
    <w:rPr>
      <w:sz w:val="20"/>
      <w:szCs w:val="20"/>
    </w:rPr>
  </w:style>
  <w:style w:type="character" w:styleId="ad">
    <w:name w:val="endnote reference"/>
    <w:basedOn w:val="a0"/>
    <w:uiPriority w:val="99"/>
    <w:semiHidden/>
    <w:unhideWhenUsed/>
    <w:rsid w:val="00795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4985">
      <w:bodyDiv w:val="1"/>
      <w:marLeft w:val="0"/>
      <w:marRight w:val="0"/>
      <w:marTop w:val="0"/>
      <w:marBottom w:val="0"/>
      <w:divBdr>
        <w:top w:val="none" w:sz="0" w:space="0" w:color="auto"/>
        <w:left w:val="none" w:sz="0" w:space="0" w:color="auto"/>
        <w:bottom w:val="none" w:sz="0" w:space="0" w:color="auto"/>
        <w:right w:val="none" w:sz="0" w:space="0" w:color="auto"/>
      </w:divBdr>
    </w:div>
    <w:div w:id="300237836">
      <w:bodyDiv w:val="1"/>
      <w:marLeft w:val="0"/>
      <w:marRight w:val="0"/>
      <w:marTop w:val="0"/>
      <w:marBottom w:val="0"/>
      <w:divBdr>
        <w:top w:val="none" w:sz="0" w:space="0" w:color="auto"/>
        <w:left w:val="none" w:sz="0" w:space="0" w:color="auto"/>
        <w:bottom w:val="none" w:sz="0" w:space="0" w:color="auto"/>
        <w:right w:val="none" w:sz="0" w:space="0" w:color="auto"/>
      </w:divBdr>
    </w:div>
    <w:div w:id="424885891">
      <w:bodyDiv w:val="1"/>
      <w:marLeft w:val="0"/>
      <w:marRight w:val="0"/>
      <w:marTop w:val="0"/>
      <w:marBottom w:val="0"/>
      <w:divBdr>
        <w:top w:val="none" w:sz="0" w:space="0" w:color="auto"/>
        <w:left w:val="none" w:sz="0" w:space="0" w:color="auto"/>
        <w:bottom w:val="none" w:sz="0" w:space="0" w:color="auto"/>
        <w:right w:val="none" w:sz="0" w:space="0" w:color="auto"/>
      </w:divBdr>
    </w:div>
    <w:div w:id="476190860">
      <w:bodyDiv w:val="1"/>
      <w:marLeft w:val="0"/>
      <w:marRight w:val="0"/>
      <w:marTop w:val="0"/>
      <w:marBottom w:val="0"/>
      <w:divBdr>
        <w:top w:val="none" w:sz="0" w:space="0" w:color="auto"/>
        <w:left w:val="none" w:sz="0" w:space="0" w:color="auto"/>
        <w:bottom w:val="none" w:sz="0" w:space="0" w:color="auto"/>
        <w:right w:val="none" w:sz="0" w:space="0" w:color="auto"/>
      </w:divBdr>
    </w:div>
    <w:div w:id="488400020">
      <w:bodyDiv w:val="1"/>
      <w:marLeft w:val="0"/>
      <w:marRight w:val="0"/>
      <w:marTop w:val="0"/>
      <w:marBottom w:val="0"/>
      <w:divBdr>
        <w:top w:val="none" w:sz="0" w:space="0" w:color="auto"/>
        <w:left w:val="none" w:sz="0" w:space="0" w:color="auto"/>
        <w:bottom w:val="none" w:sz="0" w:space="0" w:color="auto"/>
        <w:right w:val="none" w:sz="0" w:space="0" w:color="auto"/>
      </w:divBdr>
    </w:div>
    <w:div w:id="496578603">
      <w:bodyDiv w:val="1"/>
      <w:marLeft w:val="0"/>
      <w:marRight w:val="0"/>
      <w:marTop w:val="0"/>
      <w:marBottom w:val="0"/>
      <w:divBdr>
        <w:top w:val="none" w:sz="0" w:space="0" w:color="auto"/>
        <w:left w:val="none" w:sz="0" w:space="0" w:color="auto"/>
        <w:bottom w:val="none" w:sz="0" w:space="0" w:color="auto"/>
        <w:right w:val="none" w:sz="0" w:space="0" w:color="auto"/>
      </w:divBdr>
    </w:div>
    <w:div w:id="645210919">
      <w:bodyDiv w:val="1"/>
      <w:marLeft w:val="0"/>
      <w:marRight w:val="0"/>
      <w:marTop w:val="0"/>
      <w:marBottom w:val="0"/>
      <w:divBdr>
        <w:top w:val="none" w:sz="0" w:space="0" w:color="auto"/>
        <w:left w:val="none" w:sz="0" w:space="0" w:color="auto"/>
        <w:bottom w:val="none" w:sz="0" w:space="0" w:color="auto"/>
        <w:right w:val="none" w:sz="0" w:space="0" w:color="auto"/>
      </w:divBdr>
    </w:div>
    <w:div w:id="727923891">
      <w:bodyDiv w:val="1"/>
      <w:marLeft w:val="0"/>
      <w:marRight w:val="0"/>
      <w:marTop w:val="0"/>
      <w:marBottom w:val="0"/>
      <w:divBdr>
        <w:top w:val="none" w:sz="0" w:space="0" w:color="auto"/>
        <w:left w:val="none" w:sz="0" w:space="0" w:color="auto"/>
        <w:bottom w:val="none" w:sz="0" w:space="0" w:color="auto"/>
        <w:right w:val="none" w:sz="0" w:space="0" w:color="auto"/>
      </w:divBdr>
    </w:div>
    <w:div w:id="728915631">
      <w:bodyDiv w:val="1"/>
      <w:marLeft w:val="0"/>
      <w:marRight w:val="0"/>
      <w:marTop w:val="0"/>
      <w:marBottom w:val="0"/>
      <w:divBdr>
        <w:top w:val="none" w:sz="0" w:space="0" w:color="auto"/>
        <w:left w:val="none" w:sz="0" w:space="0" w:color="auto"/>
        <w:bottom w:val="none" w:sz="0" w:space="0" w:color="auto"/>
        <w:right w:val="none" w:sz="0" w:space="0" w:color="auto"/>
      </w:divBdr>
    </w:div>
    <w:div w:id="785346145">
      <w:bodyDiv w:val="1"/>
      <w:marLeft w:val="0"/>
      <w:marRight w:val="0"/>
      <w:marTop w:val="0"/>
      <w:marBottom w:val="0"/>
      <w:divBdr>
        <w:top w:val="none" w:sz="0" w:space="0" w:color="auto"/>
        <w:left w:val="none" w:sz="0" w:space="0" w:color="auto"/>
        <w:bottom w:val="none" w:sz="0" w:space="0" w:color="auto"/>
        <w:right w:val="none" w:sz="0" w:space="0" w:color="auto"/>
      </w:divBdr>
    </w:div>
    <w:div w:id="961152547">
      <w:bodyDiv w:val="1"/>
      <w:marLeft w:val="0"/>
      <w:marRight w:val="0"/>
      <w:marTop w:val="0"/>
      <w:marBottom w:val="0"/>
      <w:divBdr>
        <w:top w:val="none" w:sz="0" w:space="0" w:color="auto"/>
        <w:left w:val="none" w:sz="0" w:space="0" w:color="auto"/>
        <w:bottom w:val="none" w:sz="0" w:space="0" w:color="auto"/>
        <w:right w:val="none" w:sz="0" w:space="0" w:color="auto"/>
      </w:divBdr>
    </w:div>
    <w:div w:id="1020662089">
      <w:bodyDiv w:val="1"/>
      <w:marLeft w:val="0"/>
      <w:marRight w:val="0"/>
      <w:marTop w:val="0"/>
      <w:marBottom w:val="0"/>
      <w:divBdr>
        <w:top w:val="none" w:sz="0" w:space="0" w:color="auto"/>
        <w:left w:val="none" w:sz="0" w:space="0" w:color="auto"/>
        <w:bottom w:val="none" w:sz="0" w:space="0" w:color="auto"/>
        <w:right w:val="none" w:sz="0" w:space="0" w:color="auto"/>
      </w:divBdr>
    </w:div>
    <w:div w:id="1029643724">
      <w:bodyDiv w:val="1"/>
      <w:marLeft w:val="0"/>
      <w:marRight w:val="0"/>
      <w:marTop w:val="0"/>
      <w:marBottom w:val="0"/>
      <w:divBdr>
        <w:top w:val="none" w:sz="0" w:space="0" w:color="auto"/>
        <w:left w:val="none" w:sz="0" w:space="0" w:color="auto"/>
        <w:bottom w:val="none" w:sz="0" w:space="0" w:color="auto"/>
        <w:right w:val="none" w:sz="0" w:space="0" w:color="auto"/>
      </w:divBdr>
    </w:div>
    <w:div w:id="1083257198">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84518400">
      <w:bodyDiv w:val="1"/>
      <w:marLeft w:val="0"/>
      <w:marRight w:val="0"/>
      <w:marTop w:val="0"/>
      <w:marBottom w:val="0"/>
      <w:divBdr>
        <w:top w:val="none" w:sz="0" w:space="0" w:color="auto"/>
        <w:left w:val="none" w:sz="0" w:space="0" w:color="auto"/>
        <w:bottom w:val="none" w:sz="0" w:space="0" w:color="auto"/>
        <w:right w:val="none" w:sz="0" w:space="0" w:color="auto"/>
      </w:divBdr>
    </w:div>
    <w:div w:id="1267616482">
      <w:bodyDiv w:val="1"/>
      <w:marLeft w:val="0"/>
      <w:marRight w:val="0"/>
      <w:marTop w:val="0"/>
      <w:marBottom w:val="0"/>
      <w:divBdr>
        <w:top w:val="none" w:sz="0" w:space="0" w:color="auto"/>
        <w:left w:val="none" w:sz="0" w:space="0" w:color="auto"/>
        <w:bottom w:val="none" w:sz="0" w:space="0" w:color="auto"/>
        <w:right w:val="none" w:sz="0" w:space="0" w:color="auto"/>
      </w:divBdr>
    </w:div>
    <w:div w:id="1295406622">
      <w:bodyDiv w:val="1"/>
      <w:marLeft w:val="0"/>
      <w:marRight w:val="0"/>
      <w:marTop w:val="0"/>
      <w:marBottom w:val="0"/>
      <w:divBdr>
        <w:top w:val="none" w:sz="0" w:space="0" w:color="auto"/>
        <w:left w:val="none" w:sz="0" w:space="0" w:color="auto"/>
        <w:bottom w:val="none" w:sz="0" w:space="0" w:color="auto"/>
        <w:right w:val="none" w:sz="0" w:space="0" w:color="auto"/>
      </w:divBdr>
    </w:div>
    <w:div w:id="1300764482">
      <w:bodyDiv w:val="1"/>
      <w:marLeft w:val="0"/>
      <w:marRight w:val="0"/>
      <w:marTop w:val="0"/>
      <w:marBottom w:val="0"/>
      <w:divBdr>
        <w:top w:val="none" w:sz="0" w:space="0" w:color="auto"/>
        <w:left w:val="none" w:sz="0" w:space="0" w:color="auto"/>
        <w:bottom w:val="none" w:sz="0" w:space="0" w:color="auto"/>
        <w:right w:val="none" w:sz="0" w:space="0" w:color="auto"/>
      </w:divBdr>
    </w:div>
    <w:div w:id="1394546128">
      <w:bodyDiv w:val="1"/>
      <w:marLeft w:val="0"/>
      <w:marRight w:val="0"/>
      <w:marTop w:val="0"/>
      <w:marBottom w:val="0"/>
      <w:divBdr>
        <w:top w:val="none" w:sz="0" w:space="0" w:color="auto"/>
        <w:left w:val="none" w:sz="0" w:space="0" w:color="auto"/>
        <w:bottom w:val="none" w:sz="0" w:space="0" w:color="auto"/>
        <w:right w:val="none" w:sz="0" w:space="0" w:color="auto"/>
      </w:divBdr>
    </w:div>
    <w:div w:id="1662465929">
      <w:bodyDiv w:val="1"/>
      <w:marLeft w:val="0"/>
      <w:marRight w:val="0"/>
      <w:marTop w:val="0"/>
      <w:marBottom w:val="0"/>
      <w:divBdr>
        <w:top w:val="none" w:sz="0" w:space="0" w:color="auto"/>
        <w:left w:val="none" w:sz="0" w:space="0" w:color="auto"/>
        <w:bottom w:val="none" w:sz="0" w:space="0" w:color="auto"/>
        <w:right w:val="none" w:sz="0" w:space="0" w:color="auto"/>
      </w:divBdr>
    </w:div>
    <w:div w:id="1697846293">
      <w:bodyDiv w:val="1"/>
      <w:marLeft w:val="0"/>
      <w:marRight w:val="0"/>
      <w:marTop w:val="0"/>
      <w:marBottom w:val="0"/>
      <w:divBdr>
        <w:top w:val="none" w:sz="0" w:space="0" w:color="auto"/>
        <w:left w:val="none" w:sz="0" w:space="0" w:color="auto"/>
        <w:bottom w:val="none" w:sz="0" w:space="0" w:color="auto"/>
        <w:right w:val="none" w:sz="0" w:space="0" w:color="auto"/>
      </w:divBdr>
    </w:div>
    <w:div w:id="1809589339">
      <w:bodyDiv w:val="1"/>
      <w:marLeft w:val="0"/>
      <w:marRight w:val="0"/>
      <w:marTop w:val="0"/>
      <w:marBottom w:val="0"/>
      <w:divBdr>
        <w:top w:val="none" w:sz="0" w:space="0" w:color="auto"/>
        <w:left w:val="none" w:sz="0" w:space="0" w:color="auto"/>
        <w:bottom w:val="none" w:sz="0" w:space="0" w:color="auto"/>
        <w:right w:val="none" w:sz="0" w:space="0" w:color="auto"/>
      </w:divBdr>
    </w:div>
    <w:div w:id="20679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aw.edu/index.php/aktuelles-%20detail/622" TargetMode="External"/><Relationship Id="rId18" Type="http://schemas.openxmlformats.org/officeDocument/2006/relationships/hyperlink" Target="https://index.baselgovernance.org" TargetMode="External"/><Relationship Id="rId3" Type="http://schemas.openxmlformats.org/officeDocument/2006/relationships/styles" Target="styles.xml"/><Relationship Id="rId21" Type="http://schemas.openxmlformats.org/officeDocument/2006/relationships/hyperlink" Target="https://bank.gov.ua/control/uk/publish/article?art_id=27843415&amp;cat_id=44578" TargetMode="External"/><Relationship Id="rId7" Type="http://schemas.openxmlformats.org/officeDocument/2006/relationships/endnotes" Target="endnotes.xml"/><Relationship Id="rId12" Type="http://schemas.openxmlformats.org/officeDocument/2006/relationships/hyperlink" Target="http://documents.worldbank.org/curated/en/311991468037132740/pdf/WPS5356.pdf" TargetMode="External"/><Relationship Id="rId17" Type="http://schemas.openxmlformats.org/officeDocument/2006/relationships/hyperlink" Target="https://worldjusticeproject.org/our-work/wjp-rule-law-index/previous-editions-wjp-rule-law-index" TargetMode="External"/><Relationship Id="rId2" Type="http://schemas.openxmlformats.org/officeDocument/2006/relationships/numbering" Target="numbering.xml"/><Relationship Id="rId16" Type="http://schemas.openxmlformats.org/officeDocument/2006/relationships/hyperlink" Target="https://worldjusticeproject.org/our-work/wjp-rule-law-index/wjp-rule-law-index-2016" TargetMode="External"/><Relationship Id="rId20" Type="http://schemas.openxmlformats.org/officeDocument/2006/relationships/hyperlink" Target="https://bank.gov.ua/control/uk/publish/article?art_id=27843415&amp;cat_id=445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niallmccarthy/2017/02/09/where-the-worlds-shadow-economies-are-firmly-established-infographic/" TargetMode="External"/><Relationship Id="rId5" Type="http://schemas.openxmlformats.org/officeDocument/2006/relationships/webSettings" Target="webSettings.xml"/><Relationship Id="rId15" Type="http://schemas.openxmlformats.org/officeDocument/2006/relationships/hyperlink" Target="http://fundforpeace.org/fsi/excel" TargetMode="External"/><Relationship Id="rId23" Type="http://schemas.openxmlformats.org/officeDocument/2006/relationships/theme" Target="theme/theme1.xml"/><Relationship Id="rId10" Type="http://schemas.openxmlformats.org/officeDocument/2006/relationships/hyperlink" Target="http://www.fatf-gafi.org/media/fatf/documents/reports/Specific%20Risk%20Factors%20in%20the%20Laundering%20of%20Proceeds%20of%20Corruption.pdf" TargetMode="External"/><Relationship Id="rId19" Type="http://schemas.openxmlformats.org/officeDocument/2006/relationships/hyperlink" Target="http://www.fatf-gafi.org/publications/fatfrecommendations/documents/fatf-recommendations.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transparency.org/news/feature/corruption_perceptions_index_201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file:///C:\Users\&#1040;&#1083;&#1077;&#1089;&#1103;\Downloads\3.1-Monetary_Statistics.xls" TargetMode="External"/><Relationship Id="rId3" Type="http://schemas.openxmlformats.org/officeDocument/2006/relationships/hyperlink" Target="http://fundforpeace.org/fsi/excel" TargetMode="External"/><Relationship Id="rId7" Type="http://schemas.openxmlformats.org/officeDocument/2006/relationships/hyperlink" Target="https://bank.gov.ua/control/uk/publish/article?art_id=27843415&amp;cat_id=44578" TargetMode="External"/><Relationship Id="rId2" Type="http://schemas.openxmlformats.org/officeDocument/2006/relationships/hyperlink" Target="http://fundforpeace.org/fsi/excel" TargetMode="External"/><Relationship Id="rId1" Type="http://schemas.openxmlformats.org/officeDocument/2006/relationships/hyperlink" Target="https://www.transparency.org/news/feature/corruption_perceptions_index_2016" TargetMode="External"/><Relationship Id="rId6" Type="http://schemas.openxmlformats.org/officeDocument/2006/relationships/hyperlink" Target="https://index.baselgovernance.org" TargetMode="External"/><Relationship Id="rId5" Type="http://schemas.openxmlformats.org/officeDocument/2006/relationships/hyperlink" Target="https://index.baselgovernance.org" TargetMode="External"/><Relationship Id="rId4" Type="http://schemas.openxmlformats.org/officeDocument/2006/relationships/hyperlink" Target="https://worldjusticeproject.org/our-work/wjp-rule-law-index/wjp-rule-law-index-2016" TargetMode="External"/><Relationship Id="rId9" Type="http://schemas.openxmlformats.org/officeDocument/2006/relationships/hyperlink" Target="https://bank.gov.ua/control/uk/publish/article?art_id=27843415&amp;cat_id=4457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51;&#1080;&#1095;&#1085;&#1099;&#1077;\&#1048;&#1085;&#1092;&#1086;\&#1057;&#1087;&#1080;&#1089;&#1086;&#1082;%20&#1087;&#1091;&#1073;&#1083;&#1080;&#1082;&#1072;&#1094;&#1080;&#1081;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51;&#1080;&#1095;&#1085;&#1099;&#1077;\&#1048;&#1085;&#1092;&#1086;\&#1057;&#1087;&#1080;&#1089;&#1086;&#1082;%20&#1087;&#1091;&#1073;&#1083;&#1080;&#1082;&#1072;&#1094;&#1080;&#1081;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56841586950391521"/>
          <c:y val="3.12347438566546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'[Список публикаций_.xlsx]Статья 1'!$C$50</c:f>
              <c:strCache>
                <c:ptCount val="1"/>
                <c:pt idx="0">
                  <c:v>Рівень тіньової економіки, % від ВВП</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'[Список публикаций_.xlsx]Статья 1'!$B$51:$B$63</c:f>
              <c:strCache>
                <c:ptCount val="13"/>
                <c:pt idx="0">
                  <c:v>Україна</c:v>
                </c:pt>
                <c:pt idx="1">
                  <c:v>Греція</c:v>
                </c:pt>
                <c:pt idx="2">
                  <c:v>Італія</c:v>
                </c:pt>
                <c:pt idx="3">
                  <c:v>Іспанія</c:v>
                </c:pt>
                <c:pt idx="4">
                  <c:v>Норвегія</c:v>
                </c:pt>
                <c:pt idx="5">
                  <c:v>Германія</c:v>
                </c:pt>
                <c:pt idx="6">
                  <c:v>Канада</c:v>
                </c:pt>
                <c:pt idx="7">
                  <c:v>Австралія</c:v>
                </c:pt>
                <c:pt idx="8">
                  <c:v>Сполучене Королівство</c:v>
                </c:pt>
                <c:pt idx="9">
                  <c:v>Японія</c:v>
                </c:pt>
                <c:pt idx="10">
                  <c:v>Нідерланді</c:v>
                </c:pt>
                <c:pt idx="11">
                  <c:v>Швейцарія</c:v>
                </c:pt>
                <c:pt idx="12">
                  <c:v>Спошучені Штати Америки</c:v>
                </c:pt>
              </c:strCache>
            </c:strRef>
          </c:cat>
          <c:val>
            <c:numRef>
              <c:f>'[Список публикаций_.xlsx]Статья 1'!$C$51:$C$63</c:f>
              <c:numCache>
                <c:formatCode>0.0</c:formatCode>
                <c:ptCount val="13"/>
                <c:pt idx="0">
                  <c:v>34</c:v>
                </c:pt>
                <c:pt idx="1">
                  <c:v>21.5</c:v>
                </c:pt>
                <c:pt idx="2">
                  <c:v>19.8</c:v>
                </c:pt>
                <c:pt idx="3">
                  <c:v>17.2</c:v>
                </c:pt>
                <c:pt idx="4">
                  <c:v>12.2</c:v>
                </c:pt>
                <c:pt idx="5">
                  <c:v>10.4</c:v>
                </c:pt>
                <c:pt idx="6">
                  <c:v>9.8000000000000007</c:v>
                </c:pt>
                <c:pt idx="7">
                  <c:v>9.4</c:v>
                </c:pt>
                <c:pt idx="8">
                  <c:v>9.4</c:v>
                </c:pt>
                <c:pt idx="9">
                  <c:v>8.6</c:v>
                </c:pt>
                <c:pt idx="10">
                  <c:v>8.4</c:v>
                </c:pt>
                <c:pt idx="11">
                  <c:v>6</c:v>
                </c:pt>
                <c:pt idx="12">
                  <c:v>5.4</c:v>
                </c:pt>
              </c:numCache>
            </c:numRef>
          </c:val>
        </c:ser>
        <c:dLbls>
          <c:showLegendKey val="0"/>
          <c:showVal val="0"/>
          <c:showCatName val="0"/>
          <c:showSerName val="0"/>
          <c:showPercent val="0"/>
          <c:showBubbleSize val="0"/>
        </c:dLbls>
        <c:gapWidth val="182"/>
        <c:axId val="364217248"/>
        <c:axId val="364214448"/>
      </c:barChart>
      <c:catAx>
        <c:axId val="364217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4214448"/>
        <c:crosses val="autoZero"/>
        <c:auto val="1"/>
        <c:lblAlgn val="ctr"/>
        <c:lblOffset val="100"/>
        <c:noMultiLvlLbl val="0"/>
      </c:catAx>
      <c:valAx>
        <c:axId val="3642144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421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01329656128014E-2"/>
          <c:y val="4.6188112906023954E-2"/>
          <c:w val="0.901398670343872"/>
          <c:h val="0.93537264992149471"/>
        </c:manualLayout>
      </c:layout>
      <c:barChart>
        <c:barDir val="col"/>
        <c:grouping val="clustered"/>
        <c:varyColors val="0"/>
        <c:ser>
          <c:idx val="0"/>
          <c:order val="0"/>
          <c:spPr>
            <a:solidFill>
              <a:schemeClr val="bg1">
                <a:lumMod val="85000"/>
              </a:schemeClr>
            </a:solidFill>
            <a:ln>
              <a:noFill/>
            </a:ln>
            <a:effectLst/>
          </c:spPr>
          <c:invertIfNegative val="0"/>
          <c:dLbls>
            <c:dLbl>
              <c:idx val="1"/>
              <c:layout>
                <c:manualLayout>
                  <c:x val="8.3333333333333332E-3"/>
                  <c:y val="9.259259259259343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6666666666666674"/>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20"/>
              <c:layout>
                <c:manualLayout>
                  <c:x val="1.6666666666666666E-2"/>
                  <c:y val="-9.72222222222222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'Стаття 1'!$S$61:$S$81</c:f>
              <c:strCache>
                <c:ptCount val="21"/>
                <c:pt idx="0">
                  <c:v>Австралія</c:v>
                </c:pt>
                <c:pt idx="1">
                  <c:v>Австрія</c:v>
                </c:pt>
                <c:pt idx="2">
                  <c:v>Бельгія</c:v>
                </c:pt>
                <c:pt idx="3">
                  <c:v>Великобританія</c:v>
                </c:pt>
                <c:pt idx="4">
                  <c:v>Германія</c:v>
                </c:pt>
                <c:pt idx="5">
                  <c:v>Гренландія</c:v>
                </c:pt>
                <c:pt idx="6">
                  <c:v>Ірландія</c:v>
                </c:pt>
                <c:pt idx="7">
                  <c:v>Іспанія</c:v>
                </c:pt>
                <c:pt idx="8">
                  <c:v>Італія</c:v>
                </c:pt>
                <c:pt idx="9">
                  <c:v>Канада</c:v>
                </c:pt>
                <c:pt idx="10">
                  <c:v>Нідерланди</c:v>
                </c:pt>
                <c:pt idx="11">
                  <c:v>Нова Зеландія</c:v>
                </c:pt>
                <c:pt idx="12">
                  <c:v>Норвегія</c:v>
                </c:pt>
                <c:pt idx="13">
                  <c:v>Португалія</c:v>
                </c:pt>
                <c:pt idx="14">
                  <c:v>США</c:v>
                </c:pt>
                <c:pt idx="15">
                  <c:v>Україна</c:v>
                </c:pt>
                <c:pt idx="16">
                  <c:v>Фінляндія</c:v>
                </c:pt>
                <c:pt idx="17">
                  <c:v>Франція</c:v>
                </c:pt>
                <c:pt idx="18">
                  <c:v>Швейцарія</c:v>
                </c:pt>
                <c:pt idx="19">
                  <c:v>Швеція</c:v>
                </c:pt>
                <c:pt idx="20">
                  <c:v>Японія</c:v>
                </c:pt>
              </c:strCache>
            </c:strRef>
          </c:cat>
          <c:val>
            <c:numRef>
              <c:f>'Стаття 1'!$T$61:$T$81</c:f>
              <c:numCache>
                <c:formatCode>General</c:formatCode>
                <c:ptCount val="21"/>
                <c:pt idx="0">
                  <c:v>-19.7</c:v>
                </c:pt>
                <c:pt idx="1">
                  <c:v>-19.100000000000001</c:v>
                </c:pt>
                <c:pt idx="2">
                  <c:v>-14.8</c:v>
                </c:pt>
                <c:pt idx="3">
                  <c:v>-11.3</c:v>
                </c:pt>
                <c:pt idx="4">
                  <c:v>-25.2</c:v>
                </c:pt>
                <c:pt idx="5">
                  <c:v>-14.3</c:v>
                </c:pt>
                <c:pt idx="6">
                  <c:v>-18.100000000000001</c:v>
                </c:pt>
                <c:pt idx="7">
                  <c:v>-10.9</c:v>
                </c:pt>
                <c:pt idx="8">
                  <c:v>-11.2</c:v>
                </c:pt>
                <c:pt idx="9">
                  <c:v>-22.2</c:v>
                </c:pt>
                <c:pt idx="10">
                  <c:v>-16.8</c:v>
                </c:pt>
                <c:pt idx="11">
                  <c:v>-24.5</c:v>
                </c:pt>
                <c:pt idx="12">
                  <c:v>-20.8</c:v>
                </c:pt>
                <c:pt idx="13">
                  <c:v>-13.5</c:v>
                </c:pt>
                <c:pt idx="14">
                  <c:v>-25</c:v>
                </c:pt>
                <c:pt idx="15">
                  <c:v>2.9</c:v>
                </c:pt>
                <c:pt idx="16">
                  <c:v>-20.7</c:v>
                </c:pt>
                <c:pt idx="17">
                  <c:v>8.5</c:v>
                </c:pt>
                <c:pt idx="18">
                  <c:v>-26.8</c:v>
                </c:pt>
                <c:pt idx="19">
                  <c:v>-22.4</c:v>
                </c:pt>
                <c:pt idx="20">
                  <c:v>-4.4000000000000004</c:v>
                </c:pt>
              </c:numCache>
            </c:numRef>
          </c:val>
        </c:ser>
        <c:dLbls>
          <c:showLegendKey val="0"/>
          <c:showVal val="0"/>
          <c:showCatName val="0"/>
          <c:showSerName val="0"/>
          <c:showPercent val="0"/>
          <c:showBubbleSize val="0"/>
        </c:dLbls>
        <c:gapWidth val="219"/>
        <c:overlap val="-27"/>
        <c:axId val="364545520"/>
        <c:axId val="364547200"/>
      </c:barChart>
      <c:catAx>
        <c:axId val="36454552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4547200"/>
        <c:crosses val="autoZero"/>
        <c:auto val="1"/>
        <c:lblAlgn val="ctr"/>
        <c:lblOffset val="100"/>
        <c:tickLblSkip val="1"/>
        <c:noMultiLvlLbl val="0"/>
      </c:catAx>
      <c:valAx>
        <c:axId val="36454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454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4C47-BC1B-471D-962C-0AA438EC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20</Pages>
  <Words>5740</Words>
  <Characters>32723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146</cp:revision>
  <dcterms:created xsi:type="dcterms:W3CDTF">2018-01-09T17:37:00Z</dcterms:created>
  <dcterms:modified xsi:type="dcterms:W3CDTF">2018-01-27T16:42:00Z</dcterms:modified>
</cp:coreProperties>
</file>