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411" w:rsidRDefault="00DA4677" w:rsidP="0060558A">
      <w:pPr>
        <w:widowControl w:val="0"/>
        <w:rPr>
          <w:rFonts w:ascii="Times New Roman" w:hAnsi="Times New Roman" w:cs="Times New Roman"/>
          <w:sz w:val="20"/>
          <w:szCs w:val="20"/>
          <w:lang w:val="uk-UA"/>
        </w:rPr>
      </w:pPr>
      <w:r w:rsidRPr="00DA4677">
        <w:rPr>
          <w:rFonts w:ascii="Times New Roman" w:hAnsi="Times New Roman" w:cs="Times New Roman"/>
          <w:sz w:val="20"/>
          <w:szCs w:val="20"/>
          <w:lang w:val="uk-UA"/>
        </w:rPr>
        <w:t xml:space="preserve">УДК </w:t>
      </w:r>
      <w:r w:rsidR="007A45BD">
        <w:rPr>
          <w:rFonts w:ascii="Times New Roman" w:hAnsi="Times New Roman" w:cs="Times New Roman"/>
          <w:sz w:val="20"/>
          <w:szCs w:val="20"/>
          <w:lang w:val="uk-UA"/>
        </w:rPr>
        <w:t>336.74:343.35:35.08</w:t>
      </w:r>
    </w:p>
    <w:p w:rsidR="00DA4677" w:rsidRPr="00DA4677" w:rsidRDefault="00DA4677" w:rsidP="0060558A">
      <w:pPr>
        <w:widowControl w:val="0"/>
        <w:rPr>
          <w:rFonts w:ascii="Times New Roman" w:hAnsi="Times New Roman" w:cs="Times New Roman"/>
          <w:sz w:val="20"/>
          <w:szCs w:val="20"/>
          <w:lang w:val="uk-UA"/>
        </w:rPr>
      </w:pPr>
    </w:p>
    <w:p w:rsidR="00DA4677" w:rsidRPr="00386B05" w:rsidRDefault="006E24AA" w:rsidP="0060558A">
      <w:pPr>
        <w:widowControl w:val="0"/>
        <w:rPr>
          <w:rFonts w:ascii="Times New Roman" w:hAnsi="Times New Roman" w:cs="Times New Roman"/>
          <w:sz w:val="20"/>
          <w:szCs w:val="20"/>
          <w:vertAlign w:val="superscript"/>
        </w:rPr>
      </w:pPr>
      <w:r>
        <w:rPr>
          <w:rFonts w:ascii="Times New Roman" w:hAnsi="Times New Roman" w:cs="Times New Roman"/>
          <w:sz w:val="20"/>
          <w:szCs w:val="20"/>
          <w:lang w:val="uk-UA"/>
        </w:rPr>
        <w:t xml:space="preserve">О. </w:t>
      </w:r>
      <w:r w:rsidR="00DA4677" w:rsidRPr="00DA4677">
        <w:rPr>
          <w:rFonts w:ascii="Times New Roman" w:hAnsi="Times New Roman" w:cs="Times New Roman"/>
          <w:sz w:val="20"/>
          <w:szCs w:val="20"/>
          <w:lang w:val="uk-UA"/>
        </w:rPr>
        <w:t>Вейц</w:t>
      </w:r>
    </w:p>
    <w:p w:rsidR="00DA4677" w:rsidRPr="008116FA" w:rsidRDefault="00DA4677" w:rsidP="0060558A">
      <w:pPr>
        <w:widowControl w:val="0"/>
        <w:rPr>
          <w:rFonts w:ascii="Times New Roman" w:hAnsi="Times New Roman" w:cs="Times New Roman"/>
          <w:sz w:val="16"/>
          <w:szCs w:val="16"/>
          <w:lang w:val="uk-UA"/>
        </w:rPr>
      </w:pPr>
    </w:p>
    <w:p w:rsidR="00DA4677" w:rsidRPr="008116FA" w:rsidRDefault="00386B05" w:rsidP="0060558A">
      <w:pPr>
        <w:widowControl w:val="0"/>
        <w:rPr>
          <w:rFonts w:ascii="Times New Roman" w:hAnsi="Times New Roman" w:cs="Times New Roman"/>
          <w:i/>
          <w:sz w:val="20"/>
          <w:szCs w:val="20"/>
          <w:lang w:val="uk-UA"/>
        </w:rPr>
      </w:pPr>
      <w:hyperlink r:id="rId5" w:history="1">
        <w:r w:rsidR="008639C7">
          <w:rPr>
            <w:rStyle w:val="a4"/>
            <w:rFonts w:ascii="Times New Roman" w:hAnsi="Times New Roman" w:cs="Times New Roman"/>
            <w:i/>
            <w:color w:val="auto"/>
            <w:sz w:val="20"/>
            <w:szCs w:val="20"/>
            <w:u w:val="none"/>
            <w:lang w:val="en-US"/>
          </w:rPr>
          <w:t>O</w:t>
        </w:r>
        <w:r w:rsidR="00DA4677" w:rsidRPr="008116FA">
          <w:rPr>
            <w:rStyle w:val="a4"/>
            <w:rFonts w:ascii="Times New Roman" w:hAnsi="Times New Roman" w:cs="Times New Roman"/>
            <w:i/>
            <w:color w:val="auto"/>
            <w:sz w:val="20"/>
            <w:szCs w:val="20"/>
            <w:u w:val="none"/>
            <w:lang w:val="en-US"/>
          </w:rPr>
          <w:t>leksandr</w:t>
        </w:r>
        <w:r w:rsidR="00DA4677" w:rsidRPr="008116FA">
          <w:rPr>
            <w:rStyle w:val="a4"/>
            <w:rFonts w:ascii="Times New Roman" w:hAnsi="Times New Roman" w:cs="Times New Roman"/>
            <w:i/>
            <w:color w:val="auto"/>
            <w:sz w:val="20"/>
            <w:szCs w:val="20"/>
            <w:u w:val="none"/>
            <w:lang w:val="uk-UA"/>
          </w:rPr>
          <w:t>.</w:t>
        </w:r>
        <w:r w:rsidR="00DA4677" w:rsidRPr="008116FA">
          <w:rPr>
            <w:rStyle w:val="a4"/>
            <w:rFonts w:ascii="Times New Roman" w:hAnsi="Times New Roman" w:cs="Times New Roman"/>
            <w:i/>
            <w:color w:val="auto"/>
            <w:sz w:val="20"/>
            <w:szCs w:val="20"/>
            <w:u w:val="none"/>
            <w:lang w:val="en-US"/>
          </w:rPr>
          <w:t>veyts</w:t>
        </w:r>
        <w:r w:rsidR="00DA4677" w:rsidRPr="008116FA">
          <w:rPr>
            <w:rStyle w:val="a4"/>
            <w:rFonts w:ascii="Times New Roman" w:hAnsi="Times New Roman" w:cs="Times New Roman"/>
            <w:i/>
            <w:color w:val="auto"/>
            <w:sz w:val="20"/>
            <w:szCs w:val="20"/>
            <w:u w:val="none"/>
            <w:lang w:val="uk-UA"/>
          </w:rPr>
          <w:t>@</w:t>
        </w:r>
        <w:r w:rsidR="00DA4677" w:rsidRPr="008116FA">
          <w:rPr>
            <w:rStyle w:val="a4"/>
            <w:rFonts w:ascii="Times New Roman" w:hAnsi="Times New Roman" w:cs="Times New Roman"/>
            <w:i/>
            <w:color w:val="auto"/>
            <w:sz w:val="20"/>
            <w:szCs w:val="20"/>
            <w:u w:val="none"/>
            <w:lang w:val="en-US"/>
          </w:rPr>
          <w:t>hneu</w:t>
        </w:r>
        <w:r w:rsidR="00DA4677" w:rsidRPr="008116FA">
          <w:rPr>
            <w:rStyle w:val="a4"/>
            <w:rFonts w:ascii="Times New Roman" w:hAnsi="Times New Roman" w:cs="Times New Roman"/>
            <w:i/>
            <w:color w:val="auto"/>
            <w:sz w:val="20"/>
            <w:szCs w:val="20"/>
            <w:u w:val="none"/>
            <w:lang w:val="uk-UA"/>
          </w:rPr>
          <w:t>.</w:t>
        </w:r>
        <w:r w:rsidR="00DA4677" w:rsidRPr="008116FA">
          <w:rPr>
            <w:rStyle w:val="a4"/>
            <w:rFonts w:ascii="Times New Roman" w:hAnsi="Times New Roman" w:cs="Times New Roman"/>
            <w:i/>
            <w:color w:val="auto"/>
            <w:sz w:val="20"/>
            <w:szCs w:val="20"/>
            <w:u w:val="none"/>
            <w:lang w:val="en-US"/>
          </w:rPr>
          <w:t>net</w:t>
        </w:r>
      </w:hyperlink>
    </w:p>
    <w:p w:rsidR="00DA4677" w:rsidRPr="008116FA" w:rsidRDefault="00DA4677" w:rsidP="0060558A">
      <w:pPr>
        <w:widowControl w:val="0"/>
        <w:rPr>
          <w:rFonts w:ascii="Times New Roman" w:hAnsi="Times New Roman" w:cs="Times New Roman"/>
          <w:sz w:val="16"/>
          <w:szCs w:val="16"/>
          <w:lang w:val="uk-UA"/>
        </w:rPr>
      </w:pPr>
    </w:p>
    <w:p w:rsidR="00DA4677" w:rsidRPr="008116FA" w:rsidRDefault="00DA4677" w:rsidP="0060558A">
      <w:pPr>
        <w:widowControl w:val="0"/>
        <w:rPr>
          <w:rFonts w:ascii="Times New Roman" w:hAnsi="Times New Roman" w:cs="Times New Roman"/>
          <w:i/>
          <w:sz w:val="20"/>
          <w:szCs w:val="20"/>
          <w:lang w:val="uk-UA"/>
        </w:rPr>
      </w:pPr>
      <w:r w:rsidRPr="008116FA">
        <w:rPr>
          <w:rFonts w:ascii="Times New Roman" w:hAnsi="Times New Roman" w:cs="Times New Roman"/>
          <w:i/>
          <w:sz w:val="20"/>
          <w:szCs w:val="20"/>
          <w:lang w:val="uk-UA"/>
        </w:rPr>
        <w:t>Харківський національний економічний університет імені Семена Кузнеця, Харків</w:t>
      </w:r>
    </w:p>
    <w:p w:rsidR="001D68F6" w:rsidRPr="008116FA" w:rsidRDefault="001D68F6" w:rsidP="0060558A">
      <w:pPr>
        <w:widowControl w:val="0"/>
        <w:jc w:val="right"/>
        <w:rPr>
          <w:rFonts w:ascii="Times New Roman" w:hAnsi="Times New Roman" w:cs="Times New Roman"/>
          <w:sz w:val="24"/>
          <w:szCs w:val="24"/>
          <w:lang w:val="uk-UA"/>
        </w:rPr>
      </w:pPr>
    </w:p>
    <w:p w:rsidR="001D68F6" w:rsidRPr="008116FA" w:rsidRDefault="001D68F6" w:rsidP="0060558A">
      <w:pPr>
        <w:widowControl w:val="0"/>
        <w:jc w:val="center"/>
        <w:rPr>
          <w:b/>
          <w:sz w:val="24"/>
          <w:szCs w:val="24"/>
          <w:lang w:val="uk-UA"/>
        </w:rPr>
      </w:pPr>
      <w:r w:rsidRPr="008116FA">
        <w:rPr>
          <w:b/>
          <w:sz w:val="24"/>
          <w:szCs w:val="24"/>
          <w:lang w:val="uk-UA"/>
        </w:rPr>
        <w:t>ДЕКЛАРУВАННЯ ПОСАДОВЦЯМИ КРИПТОВАЛЮТ ЯК СПОСІБ ЛЕГАЛІЗАЦІЇ КОРУПЦІЙНИХ ДОХОДІВ</w:t>
      </w:r>
    </w:p>
    <w:p w:rsidR="008116FA" w:rsidRDefault="008116FA" w:rsidP="0060558A">
      <w:pPr>
        <w:widowControl w:val="0"/>
        <w:jc w:val="center"/>
        <w:rPr>
          <w:rFonts w:ascii="Times New Roman" w:hAnsi="Times New Roman" w:cs="Times New Roman"/>
          <w:sz w:val="24"/>
          <w:szCs w:val="24"/>
          <w:lang w:val="uk-UA"/>
        </w:rPr>
      </w:pPr>
    </w:p>
    <w:p w:rsidR="008116FA" w:rsidRDefault="008116FA" w:rsidP="0060558A">
      <w:pPr>
        <w:widowControl w:val="0"/>
        <w:jc w:val="center"/>
        <w:rPr>
          <w:rFonts w:ascii="Times New Roman" w:hAnsi="Times New Roman" w:cs="Times New Roman"/>
          <w:sz w:val="24"/>
          <w:szCs w:val="24"/>
          <w:lang w:val="uk-UA"/>
        </w:rPr>
        <w:sectPr w:rsidR="008116FA" w:rsidSect="00DA4677">
          <w:pgSz w:w="11906" w:h="16838"/>
          <w:pgMar w:top="1134" w:right="1134" w:bottom="1418" w:left="1418" w:header="709" w:footer="709" w:gutter="0"/>
          <w:cols w:space="708"/>
          <w:docGrid w:linePitch="360"/>
        </w:sectPr>
      </w:pPr>
    </w:p>
    <w:p w:rsidR="008C1F3C" w:rsidRPr="00DA4677" w:rsidRDefault="00664623" w:rsidP="0060558A">
      <w:pPr>
        <w:pStyle w:val="a3"/>
        <w:widowControl w:val="0"/>
        <w:ind w:left="0" w:firstLine="426"/>
        <w:jc w:val="both"/>
        <w:rPr>
          <w:rFonts w:ascii="Times New Roman" w:hAnsi="Times New Roman" w:cs="Times New Roman"/>
          <w:sz w:val="20"/>
          <w:szCs w:val="20"/>
          <w:lang w:val="uk-UA"/>
        </w:rPr>
      </w:pPr>
      <w:r w:rsidRPr="00DA4677">
        <w:rPr>
          <w:rFonts w:ascii="Times New Roman" w:hAnsi="Times New Roman" w:cs="Times New Roman"/>
          <w:sz w:val="20"/>
          <w:szCs w:val="20"/>
          <w:lang w:val="uk-UA"/>
        </w:rPr>
        <w:lastRenderedPageBreak/>
        <w:t xml:space="preserve">Питання </w:t>
      </w:r>
      <w:r w:rsidR="008C1F3C" w:rsidRPr="00DA4677">
        <w:rPr>
          <w:rFonts w:ascii="Times New Roman" w:hAnsi="Times New Roman" w:cs="Times New Roman"/>
          <w:sz w:val="20"/>
          <w:szCs w:val="20"/>
          <w:lang w:val="uk-UA"/>
        </w:rPr>
        <w:t>боротьби з легалізацією</w:t>
      </w:r>
      <w:r w:rsidRPr="00DA4677">
        <w:rPr>
          <w:rFonts w:ascii="Times New Roman" w:hAnsi="Times New Roman" w:cs="Times New Roman"/>
          <w:sz w:val="20"/>
          <w:szCs w:val="20"/>
          <w:lang w:val="uk-UA"/>
        </w:rPr>
        <w:t xml:space="preserve"> злочинних і корупційних доходів </w:t>
      </w:r>
      <w:r w:rsidR="008C1F3C" w:rsidRPr="00DA4677">
        <w:rPr>
          <w:rFonts w:ascii="Times New Roman" w:hAnsi="Times New Roman" w:cs="Times New Roman"/>
          <w:sz w:val="20"/>
          <w:szCs w:val="20"/>
          <w:lang w:val="uk-UA"/>
        </w:rPr>
        <w:t>має перманентну актуальність та є важливим завданням забезпечення високого рівня економічної безпеки держави та формування сприйнятливого інвестиційного клімату в Україні. За даними міжнародної організації Трансперенсі Інтернешнл (</w:t>
      </w:r>
      <w:r w:rsidR="008C1F3C" w:rsidRPr="00DA4677">
        <w:rPr>
          <w:rFonts w:ascii="Times New Roman" w:hAnsi="Times New Roman" w:cs="Times New Roman"/>
          <w:sz w:val="20"/>
          <w:szCs w:val="20"/>
          <w:lang w:val="en-US"/>
        </w:rPr>
        <w:t>Transparency</w:t>
      </w:r>
      <w:r w:rsidR="008C1F3C" w:rsidRPr="00DA4677">
        <w:rPr>
          <w:rFonts w:ascii="Times New Roman" w:hAnsi="Times New Roman" w:cs="Times New Roman"/>
          <w:sz w:val="20"/>
          <w:szCs w:val="20"/>
          <w:lang w:val="uk-UA"/>
        </w:rPr>
        <w:t xml:space="preserve"> </w:t>
      </w:r>
      <w:r w:rsidR="008C1F3C" w:rsidRPr="00DA4677">
        <w:rPr>
          <w:rFonts w:ascii="Times New Roman" w:hAnsi="Times New Roman" w:cs="Times New Roman"/>
          <w:sz w:val="20"/>
          <w:szCs w:val="20"/>
          <w:lang w:val="en-US"/>
        </w:rPr>
        <w:t>International</w:t>
      </w:r>
      <w:r w:rsidR="008C1F3C" w:rsidRPr="00DA4677">
        <w:rPr>
          <w:rFonts w:ascii="Times New Roman" w:hAnsi="Times New Roman" w:cs="Times New Roman"/>
          <w:sz w:val="20"/>
          <w:szCs w:val="20"/>
          <w:lang w:val="uk-UA"/>
        </w:rPr>
        <w:t xml:space="preserve">), яка щороку визначає Індекс сприйняття корупції, Україна віднесена до найбільш корумпованих країн світу [1]. </w:t>
      </w:r>
      <w:r w:rsidR="00AE699D" w:rsidRPr="00DA4677">
        <w:rPr>
          <w:rFonts w:ascii="Times New Roman" w:hAnsi="Times New Roman" w:cs="Times New Roman"/>
          <w:sz w:val="20"/>
          <w:szCs w:val="20"/>
          <w:lang w:val="uk-UA"/>
        </w:rPr>
        <w:t>Упродовж 2012-2016 років Індекс сприйняття корупції України був у межах 25-29 балів, тоді як найменш корумповані країни (Нідерланди, Фінляндія, Данія) мають значення Індексу у 2016 році на рівні 83, 89, 90 відповідно. Не останню роль у процесах легалізації злочинних доходів відіграють тіньовий банківський сектор [2] і новітні інформаційні технології та фінансові інновації</w:t>
      </w:r>
      <w:r w:rsidR="00C0089B" w:rsidRPr="00DA4677">
        <w:rPr>
          <w:rFonts w:ascii="Times New Roman" w:hAnsi="Times New Roman" w:cs="Times New Roman"/>
          <w:sz w:val="20"/>
          <w:szCs w:val="20"/>
          <w:lang w:val="uk-UA"/>
        </w:rPr>
        <w:t xml:space="preserve"> [3]</w:t>
      </w:r>
      <w:r w:rsidR="00AE699D" w:rsidRPr="00DA4677">
        <w:rPr>
          <w:rFonts w:ascii="Times New Roman" w:hAnsi="Times New Roman" w:cs="Times New Roman"/>
          <w:sz w:val="20"/>
          <w:szCs w:val="20"/>
          <w:lang w:val="uk-UA"/>
        </w:rPr>
        <w:t>.</w:t>
      </w:r>
      <w:r w:rsidR="00C0089B" w:rsidRPr="00DA4677">
        <w:rPr>
          <w:rFonts w:ascii="Times New Roman" w:hAnsi="Times New Roman" w:cs="Times New Roman"/>
          <w:sz w:val="20"/>
          <w:szCs w:val="20"/>
          <w:lang w:val="uk-UA"/>
        </w:rPr>
        <w:t xml:space="preserve"> Найбільшу загрозу, на думку багатьох дослідників, з цього приводу становлять криптовалюти</w:t>
      </w:r>
      <w:r w:rsidR="00481DD1" w:rsidRPr="00DA4677">
        <w:rPr>
          <w:rFonts w:ascii="Times New Roman" w:hAnsi="Times New Roman" w:cs="Times New Roman"/>
          <w:sz w:val="20"/>
          <w:szCs w:val="20"/>
          <w:lang w:val="uk-UA"/>
        </w:rPr>
        <w:t xml:space="preserve"> з властивостями анонімності</w:t>
      </w:r>
      <w:r w:rsidR="00C0089B" w:rsidRPr="00DA4677">
        <w:rPr>
          <w:rFonts w:ascii="Times New Roman" w:hAnsi="Times New Roman" w:cs="Times New Roman"/>
          <w:sz w:val="20"/>
          <w:szCs w:val="20"/>
          <w:lang w:val="uk-UA"/>
        </w:rPr>
        <w:t>, статус яких є невизначеним у багатьох країнах світу, у тому числі й в Україні.</w:t>
      </w:r>
      <w:r w:rsidR="003C33C1" w:rsidRPr="00DA4677">
        <w:rPr>
          <w:rFonts w:ascii="Times New Roman" w:hAnsi="Times New Roman" w:cs="Times New Roman"/>
          <w:sz w:val="20"/>
          <w:szCs w:val="20"/>
          <w:lang w:val="uk-UA"/>
        </w:rPr>
        <w:t xml:space="preserve"> </w:t>
      </w:r>
      <w:r w:rsidR="00481DD1" w:rsidRPr="00DA4677">
        <w:rPr>
          <w:rFonts w:ascii="Times New Roman" w:hAnsi="Times New Roman" w:cs="Times New Roman"/>
          <w:sz w:val="20"/>
          <w:szCs w:val="20"/>
          <w:lang w:val="uk-UA"/>
        </w:rPr>
        <w:t xml:space="preserve">Користуючись відсутністю правового статусу криптовалют в Україні вітчизняні чиновники </w:t>
      </w:r>
      <w:r w:rsidR="000C7BB8" w:rsidRPr="00DA4677">
        <w:rPr>
          <w:rFonts w:ascii="Times New Roman" w:hAnsi="Times New Roman" w:cs="Times New Roman"/>
          <w:sz w:val="20"/>
          <w:szCs w:val="20"/>
          <w:lang w:val="uk-UA"/>
        </w:rPr>
        <w:t>упродовж 2015-2017 років п</w:t>
      </w:r>
      <w:r w:rsidR="00B05B77" w:rsidRPr="00DA4677">
        <w:rPr>
          <w:rFonts w:ascii="Times New Roman" w:hAnsi="Times New Roman" w:cs="Times New Roman"/>
          <w:sz w:val="20"/>
          <w:szCs w:val="20"/>
          <w:lang w:val="uk-UA"/>
        </w:rPr>
        <w:t>очали декларувати наявність Бітк</w:t>
      </w:r>
      <w:r w:rsidR="000C7BB8" w:rsidRPr="00DA4677">
        <w:rPr>
          <w:rFonts w:ascii="Times New Roman" w:hAnsi="Times New Roman" w:cs="Times New Roman"/>
          <w:sz w:val="20"/>
          <w:szCs w:val="20"/>
          <w:lang w:val="uk-UA"/>
        </w:rPr>
        <w:t>оіну</w:t>
      </w:r>
      <w:r w:rsidR="00F24B6A" w:rsidRPr="00DA4677">
        <w:rPr>
          <w:rFonts w:ascii="Times New Roman" w:hAnsi="Times New Roman" w:cs="Times New Roman"/>
          <w:sz w:val="20"/>
          <w:szCs w:val="20"/>
          <w:lang w:val="uk-UA"/>
        </w:rPr>
        <w:t>, Ванкоіну та інші криптовалюти, що можна кваліфікувати як спробу легалізації корупці</w:t>
      </w:r>
      <w:r w:rsidR="00A91B88" w:rsidRPr="00DA4677">
        <w:rPr>
          <w:rFonts w:ascii="Times New Roman" w:hAnsi="Times New Roman" w:cs="Times New Roman"/>
          <w:sz w:val="20"/>
          <w:szCs w:val="20"/>
          <w:lang w:val="uk-UA"/>
        </w:rPr>
        <w:t>й</w:t>
      </w:r>
      <w:r w:rsidR="00F24B6A" w:rsidRPr="00DA4677">
        <w:rPr>
          <w:rFonts w:ascii="Times New Roman" w:hAnsi="Times New Roman" w:cs="Times New Roman"/>
          <w:sz w:val="20"/>
          <w:szCs w:val="20"/>
          <w:lang w:val="uk-UA"/>
        </w:rPr>
        <w:t>них доходів.</w:t>
      </w:r>
    </w:p>
    <w:p w:rsidR="00F24B6A" w:rsidRPr="00DA4677" w:rsidRDefault="00F24B6A" w:rsidP="0060558A">
      <w:pPr>
        <w:pStyle w:val="a3"/>
        <w:widowControl w:val="0"/>
        <w:ind w:left="0" w:firstLine="426"/>
        <w:jc w:val="both"/>
        <w:rPr>
          <w:rFonts w:ascii="Times New Roman" w:hAnsi="Times New Roman" w:cs="Times New Roman"/>
          <w:sz w:val="20"/>
          <w:szCs w:val="20"/>
          <w:lang w:val="uk-UA"/>
        </w:rPr>
      </w:pPr>
      <w:r w:rsidRPr="00DA4677">
        <w:rPr>
          <w:rFonts w:ascii="Times New Roman" w:hAnsi="Times New Roman" w:cs="Times New Roman"/>
          <w:sz w:val="20"/>
          <w:szCs w:val="20"/>
          <w:lang w:val="uk-UA"/>
        </w:rPr>
        <w:t>Метою даних тез доповіді є розкриття потенційної загрози легалізації корупційних доходів через декларування криптовалют та формування рекомендацій щодо протидії.</w:t>
      </w:r>
    </w:p>
    <w:p w:rsidR="00F24B6A" w:rsidRPr="00DA4677" w:rsidRDefault="00EB6669" w:rsidP="0060558A">
      <w:pPr>
        <w:pStyle w:val="a3"/>
        <w:widowControl w:val="0"/>
        <w:ind w:left="0" w:firstLine="426"/>
        <w:jc w:val="both"/>
        <w:rPr>
          <w:rFonts w:ascii="Times New Roman" w:hAnsi="Times New Roman" w:cs="Times New Roman"/>
          <w:sz w:val="20"/>
          <w:szCs w:val="20"/>
          <w:lang w:val="uk-UA"/>
        </w:rPr>
      </w:pPr>
      <w:r w:rsidRPr="00DA4677">
        <w:rPr>
          <w:rFonts w:ascii="Times New Roman" w:hAnsi="Times New Roman" w:cs="Times New Roman"/>
          <w:sz w:val="20"/>
          <w:szCs w:val="20"/>
          <w:lang w:val="uk-UA"/>
        </w:rPr>
        <w:t>Декларування доходів є обов’язковим для багатьох категорій чиновників і посадовців. Аналіз декларацій став можливим завдяки електронному декларуванню та відкритому доступу до таких декларацій</w:t>
      </w:r>
      <w:r w:rsidR="004F74FE" w:rsidRPr="00DA4677">
        <w:rPr>
          <w:rFonts w:ascii="Times New Roman" w:hAnsi="Times New Roman" w:cs="Times New Roman"/>
          <w:sz w:val="20"/>
          <w:szCs w:val="20"/>
          <w:lang w:val="uk-UA"/>
        </w:rPr>
        <w:t xml:space="preserve"> </w:t>
      </w:r>
      <w:r w:rsidR="004F74FE" w:rsidRPr="00DA4677">
        <w:rPr>
          <w:rFonts w:ascii="Times New Roman" w:hAnsi="Times New Roman" w:cs="Times New Roman"/>
          <w:sz w:val="20"/>
          <w:szCs w:val="20"/>
        </w:rPr>
        <w:t>[4]</w:t>
      </w:r>
      <w:r w:rsidRPr="00DA4677">
        <w:rPr>
          <w:rFonts w:ascii="Times New Roman" w:hAnsi="Times New Roman" w:cs="Times New Roman"/>
          <w:sz w:val="20"/>
          <w:szCs w:val="20"/>
          <w:lang w:val="uk-UA"/>
        </w:rPr>
        <w:t>.</w:t>
      </w:r>
      <w:r w:rsidR="00051D03" w:rsidRPr="00DA4677">
        <w:rPr>
          <w:rFonts w:ascii="Times New Roman" w:hAnsi="Times New Roman" w:cs="Times New Roman"/>
          <w:sz w:val="20"/>
          <w:szCs w:val="20"/>
          <w:lang w:val="uk-UA"/>
        </w:rPr>
        <w:t xml:space="preserve"> Перші задекларовані криптовалюти зустрічаються у деклараціях 2015 року. Кількість згадувань </w:t>
      </w:r>
      <w:r w:rsidR="00F64995" w:rsidRPr="00DA4677">
        <w:rPr>
          <w:rFonts w:ascii="Times New Roman" w:hAnsi="Times New Roman" w:cs="Times New Roman"/>
          <w:sz w:val="20"/>
          <w:szCs w:val="20"/>
          <w:lang w:val="uk-UA"/>
        </w:rPr>
        <w:t>криптовалюти зросла у 2016-2017 роках. Так, у 2015 році тільки 4 держслужбовці відобразили криптовалюту у деклараціях, у 2016 році – 29, у 2017 – 9.</w:t>
      </w:r>
    </w:p>
    <w:p w:rsidR="001D68F6" w:rsidRPr="00DA4677" w:rsidRDefault="00F64995" w:rsidP="0060558A">
      <w:pPr>
        <w:widowControl w:val="0"/>
        <w:ind w:firstLine="426"/>
        <w:jc w:val="both"/>
        <w:rPr>
          <w:rFonts w:ascii="Times New Roman" w:hAnsi="Times New Roman" w:cs="Times New Roman"/>
          <w:sz w:val="20"/>
          <w:szCs w:val="20"/>
          <w:lang w:val="uk-UA"/>
        </w:rPr>
      </w:pPr>
      <w:r w:rsidRPr="00DA4677">
        <w:rPr>
          <w:rFonts w:ascii="Times New Roman" w:hAnsi="Times New Roman" w:cs="Times New Roman"/>
          <w:sz w:val="20"/>
          <w:szCs w:val="20"/>
          <w:lang w:val="uk-UA"/>
        </w:rPr>
        <w:t>Оскі</w:t>
      </w:r>
      <w:r w:rsidR="00873D9F" w:rsidRPr="00DA4677">
        <w:rPr>
          <w:rFonts w:ascii="Times New Roman" w:hAnsi="Times New Roman" w:cs="Times New Roman"/>
          <w:sz w:val="20"/>
          <w:szCs w:val="20"/>
          <w:lang w:val="uk-UA"/>
        </w:rPr>
        <w:t>л</w:t>
      </w:r>
      <w:r w:rsidRPr="00DA4677">
        <w:rPr>
          <w:rFonts w:ascii="Times New Roman" w:hAnsi="Times New Roman" w:cs="Times New Roman"/>
          <w:sz w:val="20"/>
          <w:szCs w:val="20"/>
          <w:lang w:val="uk-UA"/>
        </w:rPr>
        <w:t xml:space="preserve">ьки </w:t>
      </w:r>
      <w:r w:rsidR="00873D9F" w:rsidRPr="00DA4677">
        <w:rPr>
          <w:rFonts w:ascii="Times New Roman" w:hAnsi="Times New Roman" w:cs="Times New Roman"/>
          <w:sz w:val="20"/>
          <w:szCs w:val="20"/>
          <w:lang w:val="uk-UA"/>
        </w:rPr>
        <w:t xml:space="preserve">правовий статус криптовалют залишається в Україні невизначеним, згадування про наявність криптовалют у деклараціях держслужбовців </w:t>
      </w:r>
      <w:r w:rsidR="008D7ADD" w:rsidRPr="00DA4677">
        <w:rPr>
          <w:rFonts w:ascii="Times New Roman" w:hAnsi="Times New Roman" w:cs="Times New Roman"/>
          <w:sz w:val="20"/>
          <w:szCs w:val="20"/>
          <w:lang w:val="uk-UA"/>
        </w:rPr>
        <w:t>зустрічаються у різних розділах: цінне рухоме майно (крім транспортних засобів), нематеріальні активи</w:t>
      </w:r>
      <w:r w:rsidR="00C33E9B" w:rsidRPr="00DA4677">
        <w:rPr>
          <w:rFonts w:ascii="Times New Roman" w:hAnsi="Times New Roman" w:cs="Times New Roman"/>
          <w:sz w:val="20"/>
          <w:szCs w:val="20"/>
          <w:lang w:val="uk-UA"/>
        </w:rPr>
        <w:t>,</w:t>
      </w:r>
      <w:r w:rsidR="00873D9F" w:rsidRPr="00DA4677">
        <w:rPr>
          <w:rFonts w:ascii="Times New Roman" w:hAnsi="Times New Roman" w:cs="Times New Roman"/>
          <w:sz w:val="20"/>
          <w:szCs w:val="20"/>
          <w:lang w:val="uk-UA"/>
        </w:rPr>
        <w:t xml:space="preserve"> </w:t>
      </w:r>
      <w:r w:rsidR="00C33E9B" w:rsidRPr="00DA4677">
        <w:rPr>
          <w:rFonts w:ascii="Times New Roman" w:hAnsi="Times New Roman" w:cs="Times New Roman"/>
          <w:sz w:val="20"/>
          <w:szCs w:val="20"/>
          <w:lang w:val="uk-UA"/>
        </w:rPr>
        <w:t>доходи, у тому числі подарунки, г</w:t>
      </w:r>
      <w:r w:rsidR="00436061" w:rsidRPr="00DA4677">
        <w:rPr>
          <w:rFonts w:ascii="Times New Roman" w:hAnsi="Times New Roman" w:cs="Times New Roman"/>
          <w:sz w:val="20"/>
          <w:szCs w:val="20"/>
          <w:lang w:val="uk-UA"/>
        </w:rPr>
        <w:t>рошові активи. В окремих деклараціях навіть не зовсім зрозуміло, у якій валюті вказана кількість активу: у гривні чи власне у криптовалюті.</w:t>
      </w:r>
    </w:p>
    <w:p w:rsidR="00436061" w:rsidRPr="00DA4677" w:rsidRDefault="00436061" w:rsidP="0060558A">
      <w:pPr>
        <w:widowControl w:val="0"/>
        <w:ind w:firstLine="426"/>
        <w:jc w:val="both"/>
        <w:rPr>
          <w:rFonts w:ascii="Times New Roman" w:hAnsi="Times New Roman" w:cs="Times New Roman"/>
          <w:sz w:val="20"/>
          <w:szCs w:val="20"/>
          <w:lang w:val="uk-UA"/>
        </w:rPr>
      </w:pPr>
      <w:r w:rsidRPr="00DA4677">
        <w:rPr>
          <w:rFonts w:ascii="Times New Roman" w:hAnsi="Times New Roman" w:cs="Times New Roman"/>
          <w:sz w:val="20"/>
          <w:szCs w:val="20"/>
          <w:lang w:val="uk-UA"/>
        </w:rPr>
        <w:lastRenderedPageBreak/>
        <w:t xml:space="preserve">Суперечливим питанням залишається необхідність декларування криптовалюти: окремі фахівці вважають, що </w:t>
      </w:r>
      <w:r w:rsidR="004F74FE" w:rsidRPr="00DA4677">
        <w:rPr>
          <w:rFonts w:ascii="Times New Roman" w:hAnsi="Times New Roman" w:cs="Times New Roman"/>
          <w:sz w:val="20"/>
          <w:szCs w:val="20"/>
          <w:lang w:val="uk-UA"/>
        </w:rPr>
        <w:t xml:space="preserve">через невизначену правову природу криптовалюти </w:t>
      </w:r>
      <w:r w:rsidRPr="00DA4677">
        <w:rPr>
          <w:rFonts w:ascii="Times New Roman" w:hAnsi="Times New Roman" w:cs="Times New Roman"/>
          <w:sz w:val="20"/>
          <w:szCs w:val="20"/>
          <w:lang w:val="uk-UA"/>
        </w:rPr>
        <w:t>цей процес є недоречним [</w:t>
      </w:r>
      <w:r w:rsidR="00A54DC2" w:rsidRPr="00BE319D">
        <w:rPr>
          <w:rFonts w:ascii="Times New Roman" w:hAnsi="Times New Roman" w:cs="Times New Roman"/>
          <w:sz w:val="20"/>
          <w:szCs w:val="20"/>
          <w:lang w:val="uk-UA"/>
        </w:rPr>
        <w:t>4</w:t>
      </w:r>
      <w:r w:rsidRPr="00DA4677">
        <w:rPr>
          <w:rFonts w:ascii="Times New Roman" w:hAnsi="Times New Roman" w:cs="Times New Roman"/>
          <w:sz w:val="20"/>
          <w:szCs w:val="20"/>
          <w:lang w:val="uk-UA"/>
        </w:rPr>
        <w:t>], а інші – що декларування має відбуватися</w:t>
      </w:r>
      <w:r w:rsidR="00A54DC2">
        <w:rPr>
          <w:rFonts w:ascii="Times New Roman" w:hAnsi="Times New Roman" w:cs="Times New Roman"/>
          <w:sz w:val="20"/>
          <w:szCs w:val="20"/>
          <w:lang w:val="uk-UA"/>
        </w:rPr>
        <w:t xml:space="preserve"> [</w:t>
      </w:r>
      <w:r w:rsidR="00A54DC2" w:rsidRPr="00BE319D">
        <w:rPr>
          <w:rFonts w:ascii="Times New Roman" w:hAnsi="Times New Roman" w:cs="Times New Roman"/>
          <w:sz w:val="20"/>
          <w:szCs w:val="20"/>
          <w:lang w:val="uk-UA"/>
        </w:rPr>
        <w:t>5</w:t>
      </w:r>
      <w:r w:rsidR="004F74FE" w:rsidRPr="00DA4677">
        <w:rPr>
          <w:rFonts w:ascii="Times New Roman" w:hAnsi="Times New Roman" w:cs="Times New Roman"/>
          <w:sz w:val="20"/>
          <w:szCs w:val="20"/>
          <w:lang w:val="uk-UA"/>
        </w:rPr>
        <w:t>]</w:t>
      </w:r>
      <w:r w:rsidRPr="00DA4677">
        <w:rPr>
          <w:rFonts w:ascii="Times New Roman" w:hAnsi="Times New Roman" w:cs="Times New Roman"/>
          <w:sz w:val="20"/>
          <w:szCs w:val="20"/>
          <w:lang w:val="uk-UA"/>
        </w:rPr>
        <w:t>, тому що кінець кінцем НБУ визначиться зі статусом криптовалюти і</w:t>
      </w:r>
      <w:r w:rsidR="004F74FE" w:rsidRPr="00DA4677">
        <w:rPr>
          <w:rFonts w:ascii="Times New Roman" w:hAnsi="Times New Roman" w:cs="Times New Roman"/>
          <w:sz w:val="20"/>
          <w:szCs w:val="20"/>
          <w:lang w:val="uk-UA"/>
        </w:rPr>
        <w:t xml:space="preserve"> з законністю (або незаконністю) її використання в межах фінансового обороту України.</w:t>
      </w:r>
      <w:r w:rsidR="00083AAC" w:rsidRPr="00DA4677">
        <w:rPr>
          <w:rFonts w:ascii="Times New Roman" w:hAnsi="Times New Roman" w:cs="Times New Roman"/>
          <w:sz w:val="20"/>
          <w:szCs w:val="20"/>
          <w:lang w:val="uk-UA"/>
        </w:rPr>
        <w:t xml:space="preserve"> </w:t>
      </w:r>
    </w:p>
    <w:p w:rsidR="004F74FE" w:rsidRDefault="004F74FE" w:rsidP="0060558A">
      <w:pPr>
        <w:widowControl w:val="0"/>
        <w:ind w:firstLine="426"/>
        <w:jc w:val="both"/>
        <w:rPr>
          <w:rFonts w:ascii="Times New Roman" w:hAnsi="Times New Roman" w:cs="Times New Roman"/>
          <w:sz w:val="20"/>
          <w:szCs w:val="20"/>
          <w:lang w:val="uk-UA"/>
        </w:rPr>
      </w:pPr>
      <w:r w:rsidRPr="00DA4677">
        <w:rPr>
          <w:rFonts w:ascii="Times New Roman" w:hAnsi="Times New Roman" w:cs="Times New Roman"/>
          <w:sz w:val="20"/>
          <w:szCs w:val="20"/>
          <w:lang w:val="uk-UA"/>
        </w:rPr>
        <w:t xml:space="preserve">Аналіз 42 декларацій [4], показав, що найбільш популярною серед держслужбовців є саме </w:t>
      </w:r>
      <w:proofErr w:type="spellStart"/>
      <w:r w:rsidRPr="00DA4677">
        <w:rPr>
          <w:rFonts w:ascii="Times New Roman" w:hAnsi="Times New Roman" w:cs="Times New Roman"/>
          <w:sz w:val="20"/>
          <w:szCs w:val="20"/>
          <w:lang w:val="en-US"/>
        </w:rPr>
        <w:t>Bitcoin</w:t>
      </w:r>
      <w:proofErr w:type="spellEnd"/>
      <w:r w:rsidRPr="00DA4677">
        <w:rPr>
          <w:rFonts w:ascii="Times New Roman" w:hAnsi="Times New Roman" w:cs="Times New Roman"/>
          <w:sz w:val="20"/>
          <w:szCs w:val="20"/>
          <w:lang w:val="uk-UA"/>
        </w:rPr>
        <w:t xml:space="preserve">, наявність якого можливо ідентифікувати у 93 % чиновників, які задекларували криптовалюту; </w:t>
      </w:r>
      <w:r w:rsidR="00274306" w:rsidRPr="00DA4677">
        <w:rPr>
          <w:rFonts w:ascii="Times New Roman" w:hAnsi="Times New Roman" w:cs="Times New Roman"/>
          <w:sz w:val="20"/>
          <w:szCs w:val="20"/>
          <w:lang w:val="uk-UA"/>
        </w:rPr>
        <w:t>2</w:t>
      </w:r>
      <w:r w:rsidRPr="00DA4677">
        <w:rPr>
          <w:rFonts w:ascii="Times New Roman" w:hAnsi="Times New Roman" w:cs="Times New Roman"/>
          <w:sz w:val="20"/>
          <w:szCs w:val="20"/>
          <w:lang w:val="uk-UA"/>
        </w:rPr>
        <w:t xml:space="preserve"> чиновник</w:t>
      </w:r>
      <w:r w:rsidR="00274306" w:rsidRPr="00DA4677">
        <w:rPr>
          <w:rFonts w:ascii="Times New Roman" w:hAnsi="Times New Roman" w:cs="Times New Roman"/>
          <w:sz w:val="20"/>
          <w:szCs w:val="20"/>
          <w:lang w:val="uk-UA"/>
        </w:rPr>
        <w:t>а вказали</w:t>
      </w:r>
      <w:r w:rsidRPr="00DA4677">
        <w:rPr>
          <w:rFonts w:ascii="Times New Roman" w:hAnsi="Times New Roman" w:cs="Times New Roman"/>
          <w:sz w:val="20"/>
          <w:szCs w:val="20"/>
          <w:lang w:val="uk-UA"/>
        </w:rPr>
        <w:t xml:space="preserve"> наявність у власності різновиду </w:t>
      </w:r>
      <w:proofErr w:type="spellStart"/>
      <w:r w:rsidRPr="00DA4677">
        <w:rPr>
          <w:rFonts w:ascii="Times New Roman" w:hAnsi="Times New Roman" w:cs="Times New Roman"/>
          <w:sz w:val="20"/>
          <w:szCs w:val="20"/>
          <w:lang w:val="en-US"/>
        </w:rPr>
        <w:t>Bitcoin</w:t>
      </w:r>
      <w:proofErr w:type="spellEnd"/>
      <w:r w:rsidRPr="00DA4677">
        <w:rPr>
          <w:rFonts w:ascii="Times New Roman" w:hAnsi="Times New Roman" w:cs="Times New Roman"/>
          <w:sz w:val="20"/>
          <w:szCs w:val="20"/>
          <w:lang w:val="uk-UA"/>
        </w:rPr>
        <w:t xml:space="preserve"> – </w:t>
      </w:r>
      <w:proofErr w:type="spellStart"/>
      <w:r w:rsidRPr="00DA4677">
        <w:rPr>
          <w:rFonts w:ascii="Times New Roman" w:hAnsi="Times New Roman" w:cs="Times New Roman"/>
          <w:sz w:val="20"/>
          <w:szCs w:val="20"/>
          <w:lang w:val="en-US"/>
        </w:rPr>
        <w:t>Bitcoin</w:t>
      </w:r>
      <w:proofErr w:type="spellEnd"/>
      <w:r w:rsidRPr="00DA4677">
        <w:rPr>
          <w:rFonts w:ascii="Times New Roman" w:hAnsi="Times New Roman" w:cs="Times New Roman"/>
          <w:sz w:val="20"/>
          <w:szCs w:val="20"/>
          <w:lang w:val="uk-UA"/>
        </w:rPr>
        <w:t xml:space="preserve"> </w:t>
      </w:r>
      <w:r w:rsidRPr="00DA4677">
        <w:rPr>
          <w:rFonts w:ascii="Times New Roman" w:hAnsi="Times New Roman" w:cs="Times New Roman"/>
          <w:sz w:val="20"/>
          <w:szCs w:val="20"/>
          <w:lang w:val="en-US"/>
        </w:rPr>
        <w:t>Cash</w:t>
      </w:r>
      <w:r w:rsidR="00274306" w:rsidRPr="00DA4677">
        <w:rPr>
          <w:rFonts w:ascii="Times New Roman" w:hAnsi="Times New Roman" w:cs="Times New Roman"/>
          <w:sz w:val="20"/>
          <w:szCs w:val="20"/>
          <w:lang w:val="uk-UA"/>
        </w:rPr>
        <w:t xml:space="preserve">, </w:t>
      </w:r>
      <w:proofErr w:type="spellStart"/>
      <w:r w:rsidR="00274306" w:rsidRPr="00DA4677">
        <w:rPr>
          <w:rFonts w:ascii="Times New Roman" w:hAnsi="Times New Roman" w:cs="Times New Roman"/>
          <w:sz w:val="20"/>
          <w:szCs w:val="20"/>
          <w:lang w:val="en-US"/>
        </w:rPr>
        <w:t>Bitcoin</w:t>
      </w:r>
      <w:proofErr w:type="spellEnd"/>
      <w:r w:rsidR="00274306" w:rsidRPr="00DA4677">
        <w:rPr>
          <w:rFonts w:ascii="Times New Roman" w:hAnsi="Times New Roman" w:cs="Times New Roman"/>
          <w:sz w:val="20"/>
          <w:szCs w:val="20"/>
          <w:lang w:val="uk-UA"/>
        </w:rPr>
        <w:t xml:space="preserve"> </w:t>
      </w:r>
      <w:r w:rsidR="00274306" w:rsidRPr="00DA4677">
        <w:rPr>
          <w:rFonts w:ascii="Times New Roman" w:hAnsi="Times New Roman" w:cs="Times New Roman"/>
          <w:sz w:val="20"/>
          <w:szCs w:val="20"/>
          <w:lang w:val="en-US"/>
        </w:rPr>
        <w:t>Gold</w:t>
      </w:r>
      <w:r w:rsidR="00274306" w:rsidRPr="00DA4677">
        <w:rPr>
          <w:rFonts w:ascii="Times New Roman" w:hAnsi="Times New Roman" w:cs="Times New Roman"/>
          <w:sz w:val="20"/>
          <w:szCs w:val="20"/>
          <w:lang w:val="uk-UA"/>
        </w:rPr>
        <w:t xml:space="preserve">, </w:t>
      </w:r>
      <w:proofErr w:type="spellStart"/>
      <w:r w:rsidR="00274306" w:rsidRPr="00DA4677">
        <w:rPr>
          <w:rFonts w:ascii="Times New Roman" w:hAnsi="Times New Roman" w:cs="Times New Roman"/>
          <w:sz w:val="20"/>
          <w:szCs w:val="20"/>
          <w:lang w:val="en-US"/>
        </w:rPr>
        <w:t>Ethereum</w:t>
      </w:r>
      <w:proofErr w:type="spellEnd"/>
      <w:r w:rsidR="00274306" w:rsidRPr="00DA4677">
        <w:rPr>
          <w:rFonts w:ascii="Times New Roman" w:hAnsi="Times New Roman" w:cs="Times New Roman"/>
          <w:sz w:val="20"/>
          <w:szCs w:val="20"/>
          <w:lang w:val="uk-UA"/>
        </w:rPr>
        <w:t xml:space="preserve">, 2 </w:t>
      </w:r>
      <w:r w:rsidRPr="00DA4677">
        <w:rPr>
          <w:rFonts w:ascii="Times New Roman" w:hAnsi="Times New Roman" w:cs="Times New Roman"/>
          <w:sz w:val="20"/>
          <w:szCs w:val="20"/>
          <w:lang w:val="uk-UA"/>
        </w:rPr>
        <w:t>чиновника – One</w:t>
      </w:r>
      <w:r w:rsidRPr="00DA4677">
        <w:rPr>
          <w:rFonts w:ascii="Times New Roman" w:hAnsi="Times New Roman" w:cs="Times New Roman"/>
          <w:sz w:val="20"/>
          <w:szCs w:val="20"/>
          <w:lang w:val="en-US"/>
        </w:rPr>
        <w:t>C</w:t>
      </w:r>
      <w:r w:rsidRPr="00DA4677">
        <w:rPr>
          <w:rFonts w:ascii="Times New Roman" w:hAnsi="Times New Roman" w:cs="Times New Roman"/>
          <w:sz w:val="20"/>
          <w:szCs w:val="20"/>
          <w:lang w:val="uk-UA"/>
        </w:rPr>
        <w:t>oin</w:t>
      </w:r>
      <w:r w:rsidR="00274306" w:rsidRPr="00DA4677">
        <w:rPr>
          <w:rFonts w:ascii="Times New Roman" w:hAnsi="Times New Roman" w:cs="Times New Roman"/>
          <w:sz w:val="20"/>
          <w:szCs w:val="20"/>
          <w:lang w:val="uk-UA"/>
        </w:rPr>
        <w:t>,</w:t>
      </w:r>
      <w:r w:rsidR="00083AAC" w:rsidRPr="00DA4677">
        <w:rPr>
          <w:rFonts w:ascii="Times New Roman" w:hAnsi="Times New Roman" w:cs="Times New Roman"/>
          <w:sz w:val="20"/>
          <w:szCs w:val="20"/>
          <w:lang w:val="uk-UA"/>
        </w:rPr>
        <w:t xml:space="preserve"> 1 – Ripple.</w:t>
      </w:r>
      <w:r w:rsidR="007C098A" w:rsidRPr="00DA4677">
        <w:rPr>
          <w:rFonts w:ascii="Times New Roman" w:hAnsi="Times New Roman" w:cs="Times New Roman"/>
          <w:sz w:val="20"/>
          <w:szCs w:val="20"/>
          <w:lang w:val="uk-UA"/>
        </w:rPr>
        <w:t xml:space="preserve"> </w:t>
      </w:r>
      <w:r w:rsidR="00915B49">
        <w:rPr>
          <w:rFonts w:ascii="Times New Roman" w:hAnsi="Times New Roman" w:cs="Times New Roman"/>
          <w:sz w:val="20"/>
          <w:szCs w:val="20"/>
          <w:lang w:val="uk-UA"/>
        </w:rPr>
        <w:t>У</w:t>
      </w:r>
      <w:r w:rsidR="007C098A" w:rsidRPr="00DA4677">
        <w:rPr>
          <w:rFonts w:ascii="Times New Roman" w:hAnsi="Times New Roman" w:cs="Times New Roman"/>
          <w:sz w:val="20"/>
          <w:szCs w:val="20"/>
          <w:lang w:val="uk-UA"/>
        </w:rPr>
        <w:t xml:space="preserve"> </w:t>
      </w:r>
      <w:r w:rsidR="00274306" w:rsidRPr="00DA4677">
        <w:rPr>
          <w:rFonts w:ascii="Times New Roman" w:hAnsi="Times New Roman" w:cs="Times New Roman"/>
          <w:sz w:val="20"/>
          <w:szCs w:val="20"/>
          <w:lang w:val="uk-UA"/>
        </w:rPr>
        <w:t>7</w:t>
      </w:r>
      <w:r w:rsidR="007C098A" w:rsidRPr="00DA4677">
        <w:rPr>
          <w:rFonts w:ascii="Times New Roman" w:hAnsi="Times New Roman" w:cs="Times New Roman"/>
          <w:sz w:val="20"/>
          <w:szCs w:val="20"/>
          <w:lang w:val="uk-UA"/>
        </w:rPr>
        <w:t xml:space="preserve"> деклараціях, де </w:t>
      </w:r>
      <w:r w:rsidR="007C098A" w:rsidRPr="00DA4677">
        <w:rPr>
          <w:rFonts w:ascii="Times New Roman" w:hAnsi="Times New Roman" w:cs="Times New Roman"/>
          <w:sz w:val="20"/>
          <w:szCs w:val="20"/>
          <w:lang w:val="en-US"/>
        </w:rPr>
        <w:t>Bitcoin</w:t>
      </w:r>
      <w:r w:rsidR="007C098A" w:rsidRPr="00DA4677">
        <w:rPr>
          <w:rFonts w:ascii="Times New Roman" w:hAnsi="Times New Roman" w:cs="Times New Roman"/>
          <w:sz w:val="20"/>
          <w:szCs w:val="20"/>
          <w:lang w:val="uk-UA"/>
        </w:rPr>
        <w:t xml:space="preserve"> міститься у ро</w:t>
      </w:r>
      <w:r w:rsidR="00274306" w:rsidRPr="00DA4677">
        <w:rPr>
          <w:rFonts w:ascii="Times New Roman" w:hAnsi="Times New Roman" w:cs="Times New Roman"/>
          <w:sz w:val="20"/>
          <w:szCs w:val="20"/>
          <w:lang w:val="uk-UA"/>
        </w:rPr>
        <w:t>зділі «Нематеріальні активи» або «Грошові активи»</w:t>
      </w:r>
      <w:r w:rsidR="007C098A" w:rsidRPr="00DA4677">
        <w:rPr>
          <w:rFonts w:ascii="Times New Roman" w:hAnsi="Times New Roman" w:cs="Times New Roman"/>
          <w:sz w:val="20"/>
          <w:szCs w:val="20"/>
          <w:lang w:val="uk-UA"/>
        </w:rPr>
        <w:t xml:space="preserve"> інформація є невизначеною, оскільки не зрозуміло у якій саме валюті (</w:t>
      </w:r>
      <w:r w:rsidR="007C098A" w:rsidRPr="00DA4677">
        <w:rPr>
          <w:rFonts w:ascii="Times New Roman" w:hAnsi="Times New Roman" w:cs="Times New Roman"/>
          <w:sz w:val="20"/>
          <w:szCs w:val="20"/>
          <w:lang w:val="en-US"/>
        </w:rPr>
        <w:t>Bitcoin</w:t>
      </w:r>
      <w:r w:rsidR="007C098A" w:rsidRPr="00DA4677">
        <w:rPr>
          <w:rFonts w:ascii="Times New Roman" w:hAnsi="Times New Roman" w:cs="Times New Roman"/>
          <w:sz w:val="20"/>
          <w:szCs w:val="20"/>
          <w:lang w:val="uk-UA"/>
        </w:rPr>
        <w:t xml:space="preserve"> чи гривня) вказана вартість активу. </w:t>
      </w:r>
    </w:p>
    <w:p w:rsidR="004C5EF4" w:rsidRDefault="004C5EF4" w:rsidP="0060558A">
      <w:pPr>
        <w:widowControl w:val="0"/>
        <w:ind w:firstLine="426"/>
        <w:jc w:val="both"/>
        <w:rPr>
          <w:rFonts w:ascii="Times New Roman" w:hAnsi="Times New Roman" w:cs="Times New Roman"/>
          <w:sz w:val="20"/>
          <w:szCs w:val="20"/>
          <w:lang w:val="uk-UA"/>
        </w:rPr>
      </w:pPr>
      <w:r>
        <w:rPr>
          <w:rFonts w:ascii="Times New Roman" w:hAnsi="Times New Roman" w:cs="Times New Roman"/>
          <w:sz w:val="20"/>
          <w:szCs w:val="20"/>
          <w:lang w:val="uk-UA"/>
        </w:rPr>
        <w:t>Географічно найбільш поширеним володіння криптовалют серед чиновників</w:t>
      </w:r>
      <w:r w:rsidR="00EE3CCB" w:rsidRPr="00EE3CCB">
        <w:rPr>
          <w:rFonts w:ascii="Times New Roman" w:hAnsi="Times New Roman" w:cs="Times New Roman"/>
          <w:sz w:val="20"/>
          <w:szCs w:val="20"/>
          <w:lang w:val="uk-UA"/>
        </w:rPr>
        <w:t xml:space="preserve"> </w:t>
      </w:r>
      <w:r w:rsidR="00EE3CCB">
        <w:rPr>
          <w:rFonts w:ascii="Times New Roman" w:hAnsi="Times New Roman" w:cs="Times New Roman"/>
          <w:sz w:val="20"/>
          <w:szCs w:val="20"/>
          <w:lang w:val="uk-UA"/>
        </w:rPr>
        <w:t>України</w:t>
      </w:r>
      <w:r>
        <w:rPr>
          <w:rFonts w:ascii="Times New Roman" w:hAnsi="Times New Roman" w:cs="Times New Roman"/>
          <w:sz w:val="20"/>
          <w:szCs w:val="20"/>
          <w:lang w:val="uk-UA"/>
        </w:rPr>
        <w:t xml:space="preserve">, які їх задекларували, розподілилось таким чином: </w:t>
      </w:r>
      <w:r w:rsidR="00395567">
        <w:rPr>
          <w:rFonts w:ascii="Times New Roman" w:hAnsi="Times New Roman" w:cs="Times New Roman"/>
          <w:sz w:val="20"/>
          <w:szCs w:val="20"/>
          <w:lang w:val="uk-UA"/>
        </w:rPr>
        <w:t>Одеса (чиновники Одеської обласної та міської рад, посадовці державних підприємств в Одесі) –</w:t>
      </w:r>
      <w:r w:rsidR="00FE3530">
        <w:rPr>
          <w:rFonts w:ascii="Times New Roman" w:hAnsi="Times New Roman" w:cs="Times New Roman"/>
          <w:sz w:val="20"/>
          <w:szCs w:val="20"/>
          <w:lang w:val="uk-UA"/>
        </w:rPr>
        <w:t xml:space="preserve"> 37</w:t>
      </w:r>
      <w:r w:rsidR="00395567">
        <w:rPr>
          <w:rFonts w:ascii="Times New Roman" w:hAnsi="Times New Roman" w:cs="Times New Roman"/>
          <w:sz w:val="20"/>
          <w:szCs w:val="20"/>
          <w:lang w:val="uk-UA"/>
        </w:rPr>
        <w:t>,</w:t>
      </w:r>
      <w:r w:rsidR="00FE3530">
        <w:rPr>
          <w:rFonts w:ascii="Times New Roman" w:hAnsi="Times New Roman" w:cs="Times New Roman"/>
          <w:sz w:val="20"/>
          <w:szCs w:val="20"/>
          <w:lang w:val="uk-UA"/>
        </w:rPr>
        <w:t>21</w:t>
      </w:r>
      <w:r w:rsidR="00395567">
        <w:rPr>
          <w:rFonts w:ascii="Times New Roman" w:hAnsi="Times New Roman" w:cs="Times New Roman"/>
          <w:sz w:val="20"/>
          <w:szCs w:val="20"/>
          <w:lang w:val="uk-UA"/>
        </w:rPr>
        <w:t xml:space="preserve"> %; Київ (депутати Верховної Ради України та інші чиновники міста</w:t>
      </w:r>
      <w:r w:rsidR="001A4112">
        <w:rPr>
          <w:rFonts w:ascii="Times New Roman" w:hAnsi="Times New Roman" w:cs="Times New Roman"/>
          <w:sz w:val="20"/>
          <w:szCs w:val="20"/>
          <w:lang w:val="uk-UA"/>
        </w:rPr>
        <w:t xml:space="preserve"> і області</w:t>
      </w:r>
      <w:r w:rsidR="00395567">
        <w:rPr>
          <w:rFonts w:ascii="Times New Roman" w:hAnsi="Times New Roman" w:cs="Times New Roman"/>
          <w:sz w:val="20"/>
          <w:szCs w:val="20"/>
          <w:lang w:val="uk-UA"/>
        </w:rPr>
        <w:t>) –</w:t>
      </w:r>
      <w:r w:rsidR="00FE3530">
        <w:rPr>
          <w:rFonts w:ascii="Times New Roman" w:hAnsi="Times New Roman" w:cs="Times New Roman"/>
          <w:sz w:val="20"/>
          <w:szCs w:val="20"/>
          <w:lang w:val="uk-UA"/>
        </w:rPr>
        <w:t xml:space="preserve"> 25</w:t>
      </w:r>
      <w:r w:rsidR="00395567">
        <w:rPr>
          <w:rFonts w:ascii="Times New Roman" w:hAnsi="Times New Roman" w:cs="Times New Roman"/>
          <w:sz w:val="20"/>
          <w:szCs w:val="20"/>
          <w:lang w:val="uk-UA"/>
        </w:rPr>
        <w:t>,</w:t>
      </w:r>
      <w:r w:rsidR="00FE3530">
        <w:rPr>
          <w:rFonts w:ascii="Times New Roman" w:hAnsi="Times New Roman" w:cs="Times New Roman"/>
          <w:sz w:val="20"/>
          <w:szCs w:val="20"/>
          <w:lang w:val="uk-UA"/>
        </w:rPr>
        <w:t>58</w:t>
      </w:r>
      <w:r w:rsidR="00395567">
        <w:rPr>
          <w:rFonts w:ascii="Times New Roman" w:hAnsi="Times New Roman" w:cs="Times New Roman"/>
          <w:sz w:val="20"/>
          <w:szCs w:val="20"/>
          <w:lang w:val="uk-UA"/>
        </w:rPr>
        <w:t xml:space="preserve"> %;</w:t>
      </w:r>
      <w:r w:rsidR="00472361">
        <w:rPr>
          <w:rFonts w:ascii="Times New Roman" w:hAnsi="Times New Roman" w:cs="Times New Roman"/>
          <w:sz w:val="20"/>
          <w:szCs w:val="20"/>
          <w:lang w:val="uk-UA"/>
        </w:rPr>
        <w:t xml:space="preserve"> Дніпро – 11,</w:t>
      </w:r>
      <w:r w:rsidR="001A4112">
        <w:rPr>
          <w:rFonts w:ascii="Times New Roman" w:hAnsi="Times New Roman" w:cs="Times New Roman"/>
          <w:sz w:val="20"/>
          <w:szCs w:val="20"/>
          <w:lang w:val="uk-UA"/>
        </w:rPr>
        <w:t>63 </w:t>
      </w:r>
      <w:r w:rsidR="00472361">
        <w:rPr>
          <w:rFonts w:ascii="Times New Roman" w:hAnsi="Times New Roman" w:cs="Times New Roman"/>
          <w:sz w:val="20"/>
          <w:szCs w:val="20"/>
          <w:lang w:val="uk-UA"/>
        </w:rPr>
        <w:t xml:space="preserve">%, Закарпаття – 6,98 %; </w:t>
      </w:r>
      <w:r w:rsidR="006807A6">
        <w:rPr>
          <w:rFonts w:ascii="Times New Roman" w:hAnsi="Times New Roman" w:cs="Times New Roman"/>
          <w:sz w:val="20"/>
          <w:szCs w:val="20"/>
          <w:lang w:val="uk-UA"/>
        </w:rPr>
        <w:t>Харків і Чернігів – 4,</w:t>
      </w:r>
      <w:r w:rsidR="001A4112">
        <w:rPr>
          <w:rFonts w:ascii="Times New Roman" w:hAnsi="Times New Roman" w:cs="Times New Roman"/>
          <w:sz w:val="20"/>
          <w:szCs w:val="20"/>
          <w:lang w:val="uk-UA"/>
        </w:rPr>
        <w:t>65 </w:t>
      </w:r>
      <w:r w:rsidR="006807A6">
        <w:rPr>
          <w:rFonts w:ascii="Times New Roman" w:hAnsi="Times New Roman" w:cs="Times New Roman"/>
          <w:sz w:val="20"/>
          <w:szCs w:val="20"/>
          <w:lang w:val="uk-UA"/>
        </w:rPr>
        <w:t xml:space="preserve">%; по 1 чиновнику зафіксували криптовалюту у містах Кременчук, Кривий Ріг, Львів  і Суми (2,33%). </w:t>
      </w:r>
    </w:p>
    <w:p w:rsidR="00DE0892" w:rsidRPr="00DA4677" w:rsidRDefault="00DE0892" w:rsidP="0060558A">
      <w:pPr>
        <w:widowControl w:val="0"/>
        <w:ind w:firstLine="426"/>
        <w:jc w:val="both"/>
        <w:rPr>
          <w:rFonts w:ascii="Times New Roman" w:hAnsi="Times New Roman" w:cs="Times New Roman"/>
          <w:sz w:val="20"/>
          <w:szCs w:val="20"/>
          <w:lang w:val="uk-UA"/>
        </w:rPr>
      </w:pPr>
      <w:r>
        <w:rPr>
          <w:rFonts w:ascii="Times New Roman" w:hAnsi="Times New Roman" w:cs="Times New Roman"/>
          <w:sz w:val="20"/>
          <w:szCs w:val="20"/>
          <w:lang w:val="uk-UA"/>
        </w:rPr>
        <w:t>Якщо ж проаналізувати географічну структуру не за кількістю чиновників, а за кількістю одиниць криптовалюти, то 66,46 % задекларовано чиновниками Одеси, 24,94 % – депутатами Верховної ради України та працівниками Адміністрації президента, тобто м. Київ; 8,60 % від обсягів криптовалют належить чиновникам інших областей України.</w:t>
      </w:r>
    </w:p>
    <w:p w:rsidR="00705E9F" w:rsidRPr="00DA4677" w:rsidRDefault="0072436B" w:rsidP="0060558A">
      <w:pPr>
        <w:widowControl w:val="0"/>
        <w:ind w:firstLine="426"/>
        <w:jc w:val="both"/>
        <w:rPr>
          <w:rFonts w:ascii="Times New Roman" w:hAnsi="Times New Roman" w:cs="Times New Roman"/>
          <w:sz w:val="20"/>
          <w:szCs w:val="20"/>
          <w:lang w:val="uk-UA"/>
        </w:rPr>
      </w:pPr>
      <w:r w:rsidRPr="00DA4677">
        <w:rPr>
          <w:rFonts w:ascii="Times New Roman" w:hAnsi="Times New Roman" w:cs="Times New Roman"/>
          <w:sz w:val="20"/>
          <w:szCs w:val="20"/>
          <w:lang w:val="uk-UA"/>
        </w:rPr>
        <w:t xml:space="preserve">Для того, щоб декларації </w:t>
      </w:r>
      <w:r w:rsidR="00705E9F" w:rsidRPr="00DA4677">
        <w:rPr>
          <w:rFonts w:ascii="Times New Roman" w:hAnsi="Times New Roman" w:cs="Times New Roman"/>
          <w:sz w:val="20"/>
          <w:szCs w:val="20"/>
          <w:lang w:val="uk-UA"/>
        </w:rPr>
        <w:t xml:space="preserve">стали інструментом, що дозволяє виявляти порушення та корупційні доходи, необхідно, перш за все, визначити правовий статус криптовалют, а також розробити та впровадити чіткі рекомендації щодо внесення інформації про криптовалюти: обов’язково слід вказувати дату набуття активу, кількість активу у його власній одиниці і вартість активу у гривні на момент придбання; після того, як актив було продано, також необхідно вказувати дату припинення права власності, а також доходи від </w:t>
      </w:r>
      <w:r w:rsidR="00705E9F" w:rsidRPr="00DA4677">
        <w:rPr>
          <w:rFonts w:ascii="Times New Roman" w:hAnsi="Times New Roman" w:cs="Times New Roman"/>
          <w:sz w:val="20"/>
          <w:szCs w:val="20"/>
          <w:lang w:val="uk-UA"/>
        </w:rPr>
        <w:lastRenderedPageBreak/>
        <w:t xml:space="preserve">продажу активу. </w:t>
      </w:r>
      <w:r w:rsidR="005C2C8F" w:rsidRPr="00DA4677">
        <w:rPr>
          <w:rFonts w:ascii="Times New Roman" w:hAnsi="Times New Roman" w:cs="Times New Roman"/>
          <w:sz w:val="20"/>
          <w:szCs w:val="20"/>
          <w:lang w:val="uk-UA"/>
        </w:rPr>
        <w:t>Саме ц</w:t>
      </w:r>
      <w:r w:rsidR="00705E9F" w:rsidRPr="00DA4677">
        <w:rPr>
          <w:rFonts w:ascii="Times New Roman" w:hAnsi="Times New Roman" w:cs="Times New Roman"/>
          <w:sz w:val="20"/>
          <w:szCs w:val="20"/>
          <w:lang w:val="uk-UA"/>
        </w:rPr>
        <w:t xml:space="preserve">я інформація </w:t>
      </w:r>
      <w:r w:rsidR="005C2C8F" w:rsidRPr="00DA4677">
        <w:rPr>
          <w:rFonts w:ascii="Times New Roman" w:hAnsi="Times New Roman" w:cs="Times New Roman"/>
          <w:sz w:val="20"/>
          <w:szCs w:val="20"/>
          <w:lang w:val="uk-UA"/>
        </w:rPr>
        <w:t>дозволить сформувати аргументовану підозру щодо отримання корупційних доходів та вимагати (за умови офіційного правового статусу) розкриття інформації щодо номеру рахунку (або гаманця криптовалюти), що дасть змогу проаналізувати дані та встановити правдивість інформації.</w:t>
      </w:r>
    </w:p>
    <w:p w:rsidR="0072436B" w:rsidRDefault="00915B49" w:rsidP="0060558A">
      <w:pPr>
        <w:widowControl w:val="0"/>
        <w:ind w:firstLine="426"/>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Проте, навіть за відсутності єдиних правил внесення інформації про біткоін у декларації є можливість </w:t>
      </w:r>
      <w:r w:rsidR="0072436B" w:rsidRPr="00DA4677">
        <w:rPr>
          <w:rFonts w:ascii="Times New Roman" w:hAnsi="Times New Roman" w:cs="Times New Roman"/>
          <w:sz w:val="20"/>
          <w:szCs w:val="20"/>
          <w:lang w:val="uk-UA"/>
        </w:rPr>
        <w:t>перевірити правдивість інформації</w:t>
      </w:r>
      <w:r>
        <w:rPr>
          <w:rFonts w:ascii="Times New Roman" w:hAnsi="Times New Roman" w:cs="Times New Roman"/>
          <w:sz w:val="20"/>
          <w:szCs w:val="20"/>
          <w:lang w:val="uk-UA"/>
        </w:rPr>
        <w:t xml:space="preserve"> та відповідно сформувати і обґрунтувати певні підозри щодо їх походження. </w:t>
      </w:r>
      <w:r w:rsidR="00DE0892">
        <w:rPr>
          <w:rFonts w:ascii="Times New Roman" w:hAnsi="Times New Roman" w:cs="Times New Roman"/>
          <w:sz w:val="20"/>
          <w:szCs w:val="20"/>
          <w:lang w:val="uk-UA"/>
        </w:rPr>
        <w:t>Придатними</w:t>
      </w:r>
      <w:r w:rsidR="007133A9">
        <w:rPr>
          <w:rFonts w:ascii="Times New Roman" w:hAnsi="Times New Roman" w:cs="Times New Roman"/>
          <w:sz w:val="20"/>
          <w:szCs w:val="20"/>
          <w:lang w:val="uk-UA"/>
        </w:rPr>
        <w:t xml:space="preserve"> для такого аналізу виявились 19</w:t>
      </w:r>
      <w:r w:rsidR="00DE0892">
        <w:rPr>
          <w:rFonts w:ascii="Times New Roman" w:hAnsi="Times New Roman" w:cs="Times New Roman"/>
          <w:sz w:val="20"/>
          <w:szCs w:val="20"/>
          <w:lang w:val="uk-UA"/>
        </w:rPr>
        <w:t xml:space="preserve"> з 42 декларацій </w:t>
      </w:r>
      <w:r w:rsidR="00DE0892" w:rsidRPr="00DE0892">
        <w:rPr>
          <w:rFonts w:ascii="Times New Roman" w:hAnsi="Times New Roman" w:cs="Times New Roman"/>
          <w:sz w:val="20"/>
          <w:szCs w:val="20"/>
          <w:lang w:val="uk-UA"/>
        </w:rPr>
        <w:t>[</w:t>
      </w:r>
      <w:r w:rsidR="00DE0892" w:rsidRPr="00DE0892">
        <w:rPr>
          <w:rFonts w:ascii="Times New Roman" w:hAnsi="Times New Roman" w:cs="Times New Roman"/>
          <w:sz w:val="20"/>
          <w:szCs w:val="20"/>
        </w:rPr>
        <w:t>4</w:t>
      </w:r>
      <w:r w:rsidR="00DE0892" w:rsidRPr="00DE0892">
        <w:rPr>
          <w:rFonts w:ascii="Times New Roman" w:hAnsi="Times New Roman" w:cs="Times New Roman"/>
          <w:sz w:val="20"/>
          <w:szCs w:val="20"/>
          <w:lang w:val="uk-UA"/>
        </w:rPr>
        <w:t>].</w:t>
      </w:r>
      <w:r w:rsidR="00DE0892" w:rsidRPr="00DE0892">
        <w:rPr>
          <w:rFonts w:ascii="Times New Roman" w:hAnsi="Times New Roman" w:cs="Times New Roman"/>
          <w:sz w:val="20"/>
          <w:szCs w:val="20"/>
        </w:rPr>
        <w:t xml:space="preserve"> </w:t>
      </w:r>
      <w:r w:rsidR="00DE0892">
        <w:rPr>
          <w:rFonts w:ascii="Times New Roman" w:hAnsi="Times New Roman" w:cs="Times New Roman"/>
          <w:sz w:val="20"/>
          <w:szCs w:val="20"/>
          <w:lang w:val="uk-UA"/>
        </w:rPr>
        <w:t xml:space="preserve">Це такі декларації, що містять дату придбання активу, номінал тобто кількість криптовалюти та суму у гривнях, витрачену на купівлю. Доповнення вказаної інформації курсом </w:t>
      </w:r>
      <w:r w:rsidR="00DE0892">
        <w:rPr>
          <w:rFonts w:ascii="Times New Roman" w:hAnsi="Times New Roman" w:cs="Times New Roman"/>
          <w:sz w:val="20"/>
          <w:szCs w:val="20"/>
          <w:lang w:val="en-US"/>
        </w:rPr>
        <w:t>Bitcoin</w:t>
      </w:r>
      <w:r w:rsidR="00DE0892" w:rsidRPr="00DE0892">
        <w:rPr>
          <w:rFonts w:ascii="Times New Roman" w:hAnsi="Times New Roman" w:cs="Times New Roman"/>
          <w:sz w:val="20"/>
          <w:szCs w:val="20"/>
        </w:rPr>
        <w:t xml:space="preserve"> </w:t>
      </w:r>
      <w:r w:rsidR="00DE0892">
        <w:rPr>
          <w:rFonts w:ascii="Times New Roman" w:hAnsi="Times New Roman" w:cs="Times New Roman"/>
          <w:sz w:val="20"/>
          <w:szCs w:val="20"/>
          <w:lang w:val="uk-UA"/>
        </w:rPr>
        <w:t>у дол. США на дату придбання і курсом гривні до дол. США на цю ж дату дає змогу виявити</w:t>
      </w:r>
      <w:r w:rsidR="005753B8">
        <w:rPr>
          <w:rFonts w:ascii="Times New Roman" w:hAnsi="Times New Roman" w:cs="Times New Roman"/>
          <w:sz w:val="20"/>
          <w:szCs w:val="20"/>
          <w:lang w:val="uk-UA"/>
        </w:rPr>
        <w:t>, що більшість задекларованих даних не відповідають критерію об’єктивності</w:t>
      </w:r>
      <w:r w:rsidR="007133A9">
        <w:rPr>
          <w:rFonts w:ascii="Times New Roman" w:hAnsi="Times New Roman" w:cs="Times New Roman"/>
          <w:sz w:val="20"/>
          <w:szCs w:val="20"/>
          <w:lang w:val="uk-UA"/>
        </w:rPr>
        <w:t xml:space="preserve"> (табл. 1)</w:t>
      </w:r>
      <w:r w:rsidR="005753B8">
        <w:rPr>
          <w:rFonts w:ascii="Times New Roman" w:hAnsi="Times New Roman" w:cs="Times New Roman"/>
          <w:sz w:val="20"/>
          <w:szCs w:val="20"/>
          <w:lang w:val="uk-UA"/>
        </w:rPr>
        <w:t>.</w:t>
      </w:r>
      <w:r w:rsidR="00DE0892">
        <w:rPr>
          <w:rFonts w:ascii="Times New Roman" w:hAnsi="Times New Roman" w:cs="Times New Roman"/>
          <w:sz w:val="20"/>
          <w:szCs w:val="20"/>
          <w:lang w:val="uk-UA"/>
        </w:rPr>
        <w:t xml:space="preserve"> </w:t>
      </w:r>
    </w:p>
    <w:p w:rsidR="008A11AD" w:rsidRDefault="008A11AD" w:rsidP="0060558A">
      <w:pPr>
        <w:widowControl w:val="0"/>
        <w:ind w:firstLine="426"/>
        <w:jc w:val="right"/>
        <w:rPr>
          <w:rFonts w:ascii="Times New Roman" w:hAnsi="Times New Roman" w:cs="Times New Roman"/>
          <w:sz w:val="18"/>
          <w:szCs w:val="18"/>
          <w:lang w:val="uk-UA"/>
        </w:rPr>
      </w:pPr>
      <w:r w:rsidRPr="008A11AD">
        <w:rPr>
          <w:rFonts w:ascii="Times New Roman" w:hAnsi="Times New Roman" w:cs="Times New Roman"/>
          <w:sz w:val="18"/>
          <w:szCs w:val="18"/>
          <w:lang w:val="uk-UA"/>
        </w:rPr>
        <w:t>Таблиця 1</w:t>
      </w:r>
    </w:p>
    <w:p w:rsidR="002050DB" w:rsidRPr="002050DB" w:rsidRDefault="002050DB" w:rsidP="0060558A">
      <w:pPr>
        <w:widowControl w:val="0"/>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Обсяги задекларованої криптовалюти </w:t>
      </w:r>
      <w:r>
        <w:rPr>
          <w:rFonts w:ascii="Times New Roman" w:hAnsi="Times New Roman" w:cs="Times New Roman"/>
          <w:sz w:val="18"/>
          <w:szCs w:val="18"/>
          <w:lang w:val="en-US"/>
        </w:rPr>
        <w:t>Bitcoin</w:t>
      </w:r>
      <w:r w:rsidRPr="002050DB">
        <w:rPr>
          <w:rFonts w:ascii="Times New Roman" w:hAnsi="Times New Roman" w:cs="Times New Roman"/>
          <w:sz w:val="18"/>
          <w:szCs w:val="18"/>
          <w:lang w:val="uk-UA"/>
        </w:rPr>
        <w:t xml:space="preserve"> чиновниками України </w:t>
      </w:r>
      <w:r>
        <w:rPr>
          <w:rFonts w:ascii="Times New Roman" w:hAnsi="Times New Roman" w:cs="Times New Roman"/>
          <w:sz w:val="18"/>
          <w:szCs w:val="18"/>
          <w:lang w:val="uk-UA"/>
        </w:rPr>
        <w:t>та відхилення задекларованої вартості від розрахованої на основі офіційних курсів валют</w:t>
      </w:r>
    </w:p>
    <w:tbl>
      <w:tblPr>
        <w:tblStyle w:val="a6"/>
        <w:tblW w:w="0" w:type="auto"/>
        <w:tblLook w:val="04A0" w:firstRow="1" w:lastRow="0" w:firstColumn="1" w:lastColumn="0" w:noHBand="0" w:noVBand="1"/>
      </w:tblPr>
      <w:tblGrid>
        <w:gridCol w:w="1696"/>
        <w:gridCol w:w="1418"/>
        <w:gridCol w:w="1411"/>
      </w:tblGrid>
      <w:tr w:rsidR="008A11AD" w:rsidRPr="008A11AD" w:rsidTr="002050DB">
        <w:tc>
          <w:tcPr>
            <w:tcW w:w="1696" w:type="dxa"/>
            <w:vAlign w:val="center"/>
          </w:tcPr>
          <w:p w:rsidR="008A11AD" w:rsidRPr="008A11AD" w:rsidRDefault="008A11AD" w:rsidP="0060558A">
            <w:pPr>
              <w:widowControl w:val="0"/>
              <w:jc w:val="center"/>
              <w:rPr>
                <w:rFonts w:ascii="Times New Roman" w:hAnsi="Times New Roman" w:cs="Times New Roman"/>
                <w:sz w:val="18"/>
                <w:szCs w:val="18"/>
                <w:lang w:val="uk-UA"/>
              </w:rPr>
            </w:pPr>
            <w:r w:rsidRPr="008A11AD">
              <w:rPr>
                <w:rFonts w:ascii="Times New Roman" w:hAnsi="Times New Roman" w:cs="Times New Roman"/>
                <w:sz w:val="18"/>
                <w:szCs w:val="18"/>
                <w:lang w:val="uk-UA"/>
              </w:rPr>
              <w:t>Прізвище чиновника</w:t>
            </w:r>
          </w:p>
        </w:tc>
        <w:tc>
          <w:tcPr>
            <w:tcW w:w="1418" w:type="dxa"/>
            <w:vAlign w:val="center"/>
          </w:tcPr>
          <w:p w:rsidR="008A11AD" w:rsidRPr="002050DB" w:rsidRDefault="008A11AD" w:rsidP="0060558A">
            <w:pPr>
              <w:widowControl w:val="0"/>
              <w:jc w:val="center"/>
              <w:rPr>
                <w:rFonts w:ascii="Times New Roman" w:hAnsi="Times New Roman" w:cs="Times New Roman"/>
                <w:sz w:val="18"/>
                <w:szCs w:val="18"/>
                <w:lang w:val="en-US"/>
              </w:rPr>
            </w:pPr>
            <w:r w:rsidRPr="008A11AD">
              <w:rPr>
                <w:rFonts w:ascii="Times New Roman" w:hAnsi="Times New Roman" w:cs="Times New Roman"/>
                <w:sz w:val="18"/>
                <w:szCs w:val="18"/>
                <w:lang w:val="uk-UA"/>
              </w:rPr>
              <w:t>Кількість задекларованої криптовалюти</w:t>
            </w:r>
            <w:r w:rsidR="002050DB">
              <w:rPr>
                <w:rFonts w:ascii="Times New Roman" w:hAnsi="Times New Roman" w:cs="Times New Roman"/>
                <w:sz w:val="18"/>
                <w:szCs w:val="18"/>
                <w:lang w:val="uk-UA"/>
              </w:rPr>
              <w:t xml:space="preserve"> </w:t>
            </w:r>
            <w:r w:rsidR="002050DB">
              <w:rPr>
                <w:rFonts w:ascii="Times New Roman" w:hAnsi="Times New Roman" w:cs="Times New Roman"/>
                <w:sz w:val="18"/>
                <w:szCs w:val="18"/>
                <w:lang w:val="en-US"/>
              </w:rPr>
              <w:t>Bitcoin</w:t>
            </w:r>
          </w:p>
        </w:tc>
        <w:tc>
          <w:tcPr>
            <w:tcW w:w="1411" w:type="dxa"/>
            <w:vAlign w:val="center"/>
          </w:tcPr>
          <w:p w:rsidR="008A11AD" w:rsidRPr="008A11AD" w:rsidRDefault="008A11AD" w:rsidP="0060558A">
            <w:pPr>
              <w:widowControl w:val="0"/>
              <w:jc w:val="center"/>
              <w:rPr>
                <w:rFonts w:ascii="Times New Roman" w:hAnsi="Times New Roman" w:cs="Times New Roman"/>
                <w:sz w:val="18"/>
                <w:szCs w:val="18"/>
                <w:lang w:val="uk-UA"/>
              </w:rPr>
            </w:pPr>
            <w:r w:rsidRPr="008A11AD">
              <w:rPr>
                <w:rFonts w:ascii="Times New Roman" w:hAnsi="Times New Roman" w:cs="Times New Roman"/>
                <w:sz w:val="18"/>
                <w:szCs w:val="18"/>
                <w:lang w:val="uk-UA"/>
              </w:rPr>
              <w:t>Відхилення у вартості купівлі валюти</w:t>
            </w:r>
            <w:r w:rsidR="002050DB">
              <w:rPr>
                <w:rFonts w:ascii="Times New Roman" w:hAnsi="Times New Roman" w:cs="Times New Roman"/>
                <w:sz w:val="18"/>
                <w:szCs w:val="18"/>
                <w:lang w:val="uk-UA"/>
              </w:rPr>
              <w:t>, %</w:t>
            </w:r>
          </w:p>
        </w:tc>
      </w:tr>
      <w:tr w:rsidR="008A11AD" w:rsidRPr="008A11AD" w:rsidTr="00B664A1">
        <w:tc>
          <w:tcPr>
            <w:tcW w:w="1696" w:type="dxa"/>
          </w:tcPr>
          <w:p w:rsidR="008A11AD" w:rsidRPr="008A11AD" w:rsidRDefault="008A11AD"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Кривошея В. В.</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3493</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312,46</w:t>
            </w:r>
          </w:p>
        </w:tc>
      </w:tr>
      <w:tr w:rsidR="008A11AD" w:rsidRPr="008A11AD" w:rsidTr="00B664A1">
        <w:tc>
          <w:tcPr>
            <w:tcW w:w="1696" w:type="dxa"/>
          </w:tcPr>
          <w:p w:rsidR="008A11AD" w:rsidRPr="008A11AD" w:rsidRDefault="008A11AD"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Ніколайчук Р. П.</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50</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140,38</w:t>
            </w:r>
          </w:p>
        </w:tc>
      </w:tr>
      <w:tr w:rsidR="008A11AD" w:rsidRPr="008A11AD" w:rsidTr="00B664A1">
        <w:tc>
          <w:tcPr>
            <w:tcW w:w="1696" w:type="dxa"/>
          </w:tcPr>
          <w:p w:rsidR="008A11AD" w:rsidRPr="008A11AD" w:rsidRDefault="008A11AD"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Кузькевич М. Д.</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88</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108,69</w:t>
            </w:r>
          </w:p>
        </w:tc>
      </w:tr>
      <w:tr w:rsidR="008A11AD" w:rsidRPr="008A11AD" w:rsidTr="00B664A1">
        <w:tc>
          <w:tcPr>
            <w:tcW w:w="1696" w:type="dxa"/>
          </w:tcPr>
          <w:p w:rsidR="008A11AD" w:rsidRPr="008A11AD" w:rsidRDefault="008A11AD"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Кузькевич М. Д.</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33</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94,88</w:t>
            </w:r>
          </w:p>
        </w:tc>
      </w:tr>
      <w:tr w:rsidR="008A11AD" w:rsidRPr="008A11AD" w:rsidTr="00B664A1">
        <w:tc>
          <w:tcPr>
            <w:tcW w:w="1696" w:type="dxa"/>
          </w:tcPr>
          <w:p w:rsidR="008A11AD" w:rsidRPr="008A11AD" w:rsidRDefault="008A11AD"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Привалова Є. Є.</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488</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95,54</w:t>
            </w:r>
          </w:p>
        </w:tc>
      </w:tr>
      <w:tr w:rsidR="008A11AD" w:rsidRPr="008A11AD" w:rsidTr="00B664A1">
        <w:tc>
          <w:tcPr>
            <w:tcW w:w="1696" w:type="dxa"/>
          </w:tcPr>
          <w:p w:rsidR="008A11AD" w:rsidRPr="008A11AD" w:rsidRDefault="008A11AD"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Іонов П.П.</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538</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98,99</w:t>
            </w:r>
          </w:p>
        </w:tc>
      </w:tr>
      <w:tr w:rsidR="008A11AD" w:rsidRPr="008A11AD" w:rsidTr="00B664A1">
        <w:tc>
          <w:tcPr>
            <w:tcW w:w="1696" w:type="dxa"/>
          </w:tcPr>
          <w:p w:rsidR="008A11AD" w:rsidRPr="008A11AD" w:rsidRDefault="008A11AD"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Табунщик Р. В.</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1600</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-31,30</w:t>
            </w:r>
          </w:p>
        </w:tc>
      </w:tr>
      <w:tr w:rsidR="008A11AD" w:rsidRPr="008A11AD" w:rsidTr="00B664A1">
        <w:tc>
          <w:tcPr>
            <w:tcW w:w="1696" w:type="dxa"/>
          </w:tcPr>
          <w:p w:rsidR="008A11AD" w:rsidRPr="008A11AD" w:rsidRDefault="008A11AD"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Петруєв Д. М.</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1318</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-15,73</w:t>
            </w:r>
          </w:p>
        </w:tc>
      </w:tr>
      <w:tr w:rsidR="008A11AD" w:rsidRPr="008A11AD" w:rsidTr="00B664A1">
        <w:tc>
          <w:tcPr>
            <w:tcW w:w="1696" w:type="dxa"/>
          </w:tcPr>
          <w:p w:rsidR="008A11AD" w:rsidRPr="008A11AD" w:rsidRDefault="00B664A1"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Ісламова А. В.</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100</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-8,35</w:t>
            </w:r>
          </w:p>
        </w:tc>
      </w:tr>
      <w:tr w:rsidR="008A11AD" w:rsidRPr="008A11AD" w:rsidTr="00B664A1">
        <w:tc>
          <w:tcPr>
            <w:tcW w:w="1696" w:type="dxa"/>
          </w:tcPr>
          <w:p w:rsidR="008A11AD" w:rsidRPr="008A11AD" w:rsidRDefault="00B664A1"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Піскунович В. О.</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60</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159,87</w:t>
            </w:r>
          </w:p>
        </w:tc>
      </w:tr>
      <w:tr w:rsidR="008A11AD" w:rsidRPr="008A11AD" w:rsidTr="00B664A1">
        <w:tc>
          <w:tcPr>
            <w:tcW w:w="1696" w:type="dxa"/>
          </w:tcPr>
          <w:p w:rsidR="008A11AD" w:rsidRPr="008A11AD" w:rsidRDefault="00B664A1"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Веклюк М. В.</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4</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267,47</w:t>
            </w:r>
          </w:p>
        </w:tc>
      </w:tr>
      <w:tr w:rsidR="008A11AD" w:rsidRPr="008A11AD" w:rsidTr="00B664A1">
        <w:tc>
          <w:tcPr>
            <w:tcW w:w="1696" w:type="dxa"/>
          </w:tcPr>
          <w:p w:rsidR="008A11AD" w:rsidRPr="008A11AD" w:rsidRDefault="00B664A1"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Фемич В. І.</w:t>
            </w:r>
          </w:p>
        </w:tc>
        <w:tc>
          <w:tcPr>
            <w:tcW w:w="1418"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4</w:t>
            </w:r>
          </w:p>
        </w:tc>
        <w:tc>
          <w:tcPr>
            <w:tcW w:w="1411" w:type="dxa"/>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270,73</w:t>
            </w:r>
          </w:p>
        </w:tc>
      </w:tr>
      <w:tr w:rsidR="008A11AD" w:rsidRPr="008A11AD" w:rsidTr="002050DB">
        <w:tc>
          <w:tcPr>
            <w:tcW w:w="1696" w:type="dxa"/>
            <w:tcBorders>
              <w:bottom w:val="single" w:sz="4" w:space="0" w:color="auto"/>
            </w:tcBorders>
          </w:tcPr>
          <w:p w:rsidR="008A11AD" w:rsidRPr="008A11AD" w:rsidRDefault="00B664A1"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Тягур В. М.</w:t>
            </w:r>
          </w:p>
        </w:tc>
        <w:tc>
          <w:tcPr>
            <w:tcW w:w="1418" w:type="dxa"/>
            <w:tcBorders>
              <w:bottom w:val="single" w:sz="4" w:space="0" w:color="auto"/>
            </w:tcBorders>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5400</w:t>
            </w:r>
          </w:p>
        </w:tc>
        <w:tc>
          <w:tcPr>
            <w:tcW w:w="1411" w:type="dxa"/>
            <w:tcBorders>
              <w:bottom w:val="single" w:sz="4" w:space="0" w:color="auto"/>
            </w:tcBorders>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-99,74</w:t>
            </w:r>
          </w:p>
        </w:tc>
      </w:tr>
      <w:tr w:rsidR="008A11AD" w:rsidRPr="008A11AD" w:rsidTr="002050DB">
        <w:tc>
          <w:tcPr>
            <w:tcW w:w="1696" w:type="dxa"/>
            <w:shd w:val="clear" w:color="auto" w:fill="F2F2F2" w:themeFill="background1" w:themeFillShade="F2"/>
          </w:tcPr>
          <w:p w:rsidR="008A11AD" w:rsidRPr="008A11AD" w:rsidRDefault="00B664A1"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Штока Є. Т.</w:t>
            </w:r>
          </w:p>
        </w:tc>
        <w:tc>
          <w:tcPr>
            <w:tcW w:w="1418" w:type="dxa"/>
            <w:shd w:val="clear" w:color="auto" w:fill="F2F2F2" w:themeFill="background1" w:themeFillShade="F2"/>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25</w:t>
            </w:r>
          </w:p>
        </w:tc>
        <w:tc>
          <w:tcPr>
            <w:tcW w:w="1411" w:type="dxa"/>
            <w:shd w:val="clear" w:color="auto" w:fill="F2F2F2" w:themeFill="background1" w:themeFillShade="F2"/>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2,32</w:t>
            </w:r>
          </w:p>
        </w:tc>
      </w:tr>
      <w:tr w:rsidR="008A11AD" w:rsidRPr="008A11AD" w:rsidTr="002050DB">
        <w:tc>
          <w:tcPr>
            <w:tcW w:w="1696" w:type="dxa"/>
            <w:shd w:val="clear" w:color="auto" w:fill="F2F2F2" w:themeFill="background1" w:themeFillShade="F2"/>
          </w:tcPr>
          <w:p w:rsidR="008A11AD" w:rsidRPr="008A11AD" w:rsidRDefault="00E86819"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Горбань Г. В.</w:t>
            </w:r>
          </w:p>
        </w:tc>
        <w:tc>
          <w:tcPr>
            <w:tcW w:w="1418" w:type="dxa"/>
            <w:shd w:val="clear" w:color="auto" w:fill="F2F2F2" w:themeFill="background1" w:themeFillShade="F2"/>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0,09</w:t>
            </w:r>
          </w:p>
        </w:tc>
        <w:tc>
          <w:tcPr>
            <w:tcW w:w="1411" w:type="dxa"/>
            <w:shd w:val="clear" w:color="auto" w:fill="F2F2F2" w:themeFill="background1" w:themeFillShade="F2"/>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1,77</w:t>
            </w:r>
          </w:p>
        </w:tc>
      </w:tr>
      <w:tr w:rsidR="008A11AD" w:rsidRPr="008A11AD" w:rsidTr="002050DB">
        <w:tc>
          <w:tcPr>
            <w:tcW w:w="1696" w:type="dxa"/>
            <w:shd w:val="clear" w:color="auto" w:fill="F2F2F2" w:themeFill="background1" w:themeFillShade="F2"/>
          </w:tcPr>
          <w:p w:rsidR="008A11AD" w:rsidRPr="008A11AD" w:rsidRDefault="00E86819"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Урбанський А. І.</w:t>
            </w:r>
          </w:p>
        </w:tc>
        <w:tc>
          <w:tcPr>
            <w:tcW w:w="1418" w:type="dxa"/>
            <w:shd w:val="clear" w:color="auto" w:fill="F2F2F2" w:themeFill="background1" w:themeFillShade="F2"/>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4256,3278</w:t>
            </w:r>
          </w:p>
        </w:tc>
        <w:tc>
          <w:tcPr>
            <w:tcW w:w="1411" w:type="dxa"/>
            <w:shd w:val="clear" w:color="auto" w:fill="F2F2F2" w:themeFill="background1" w:themeFillShade="F2"/>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3,95</w:t>
            </w:r>
          </w:p>
        </w:tc>
      </w:tr>
      <w:tr w:rsidR="008A11AD" w:rsidRPr="008A11AD" w:rsidTr="002050DB">
        <w:tc>
          <w:tcPr>
            <w:tcW w:w="1696" w:type="dxa"/>
            <w:shd w:val="clear" w:color="auto" w:fill="F2F2F2" w:themeFill="background1" w:themeFillShade="F2"/>
          </w:tcPr>
          <w:p w:rsidR="008A11AD" w:rsidRPr="008A11AD" w:rsidRDefault="00E86819"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Позднякова Г. І.</w:t>
            </w:r>
          </w:p>
        </w:tc>
        <w:tc>
          <w:tcPr>
            <w:tcW w:w="1418" w:type="dxa"/>
            <w:shd w:val="clear" w:color="auto" w:fill="F2F2F2" w:themeFill="background1" w:themeFillShade="F2"/>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98,874</w:t>
            </w:r>
          </w:p>
        </w:tc>
        <w:tc>
          <w:tcPr>
            <w:tcW w:w="1411" w:type="dxa"/>
            <w:shd w:val="clear" w:color="auto" w:fill="F2F2F2" w:themeFill="background1" w:themeFillShade="F2"/>
            <w:vAlign w:val="bottom"/>
          </w:tcPr>
          <w:p w:rsidR="008A11AD" w:rsidRPr="008A11AD" w:rsidRDefault="008A11AD" w:rsidP="0060558A">
            <w:pPr>
              <w:widowControl w:val="0"/>
              <w:jc w:val="right"/>
              <w:rPr>
                <w:rFonts w:ascii="Times New Roman" w:hAnsi="Times New Roman" w:cs="Times New Roman"/>
                <w:color w:val="212529"/>
                <w:sz w:val="18"/>
                <w:szCs w:val="18"/>
              </w:rPr>
            </w:pPr>
            <w:r w:rsidRPr="008A11AD">
              <w:rPr>
                <w:rFonts w:ascii="Times New Roman" w:hAnsi="Times New Roman" w:cs="Times New Roman"/>
                <w:color w:val="212529"/>
                <w:sz w:val="18"/>
                <w:szCs w:val="18"/>
              </w:rPr>
              <w:t>5,03</w:t>
            </w:r>
          </w:p>
        </w:tc>
      </w:tr>
      <w:tr w:rsidR="008A11AD" w:rsidRPr="008A11AD" w:rsidTr="00B664A1">
        <w:tc>
          <w:tcPr>
            <w:tcW w:w="1696" w:type="dxa"/>
          </w:tcPr>
          <w:p w:rsidR="008A11AD" w:rsidRPr="008A11AD" w:rsidRDefault="00E86819"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Коваль С. М.</w:t>
            </w:r>
          </w:p>
        </w:tc>
        <w:tc>
          <w:tcPr>
            <w:tcW w:w="1418" w:type="dxa"/>
            <w:vAlign w:val="bottom"/>
          </w:tcPr>
          <w:p w:rsidR="008A11AD" w:rsidRPr="00E86819" w:rsidRDefault="008A11AD" w:rsidP="0060558A">
            <w:pPr>
              <w:widowControl w:val="0"/>
              <w:jc w:val="right"/>
              <w:rPr>
                <w:rFonts w:ascii="Times New Roman" w:hAnsi="Times New Roman" w:cs="Times New Roman"/>
                <w:color w:val="212529"/>
                <w:sz w:val="18"/>
                <w:szCs w:val="18"/>
                <w:lang w:val="en-US"/>
              </w:rPr>
            </w:pPr>
            <w:r w:rsidRPr="00E86819">
              <w:rPr>
                <w:rFonts w:ascii="Times New Roman" w:hAnsi="Times New Roman" w:cs="Times New Roman"/>
                <w:color w:val="212529"/>
                <w:sz w:val="18"/>
                <w:szCs w:val="18"/>
                <w:lang w:val="en-US"/>
              </w:rPr>
              <w:t>1</w:t>
            </w:r>
          </w:p>
        </w:tc>
        <w:tc>
          <w:tcPr>
            <w:tcW w:w="1411" w:type="dxa"/>
            <w:vAlign w:val="bottom"/>
          </w:tcPr>
          <w:p w:rsidR="008A11AD" w:rsidRPr="00E86819" w:rsidRDefault="008A11AD" w:rsidP="0060558A">
            <w:pPr>
              <w:widowControl w:val="0"/>
              <w:jc w:val="right"/>
              <w:rPr>
                <w:rFonts w:ascii="Times New Roman" w:hAnsi="Times New Roman" w:cs="Times New Roman"/>
                <w:color w:val="212529"/>
                <w:sz w:val="18"/>
                <w:szCs w:val="18"/>
                <w:lang w:val="en-US"/>
              </w:rPr>
            </w:pPr>
            <w:r w:rsidRPr="00E86819">
              <w:rPr>
                <w:rFonts w:ascii="Times New Roman" w:hAnsi="Times New Roman" w:cs="Times New Roman"/>
                <w:color w:val="212529"/>
                <w:sz w:val="18"/>
                <w:szCs w:val="18"/>
                <w:lang w:val="en-US"/>
              </w:rPr>
              <w:t>-6,58</w:t>
            </w:r>
          </w:p>
        </w:tc>
      </w:tr>
      <w:tr w:rsidR="008A11AD" w:rsidRPr="008A11AD" w:rsidTr="00B664A1">
        <w:tc>
          <w:tcPr>
            <w:tcW w:w="1696" w:type="dxa"/>
          </w:tcPr>
          <w:p w:rsidR="008A11AD" w:rsidRPr="008A11AD" w:rsidRDefault="00E86819"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Коваль С. М.</w:t>
            </w:r>
          </w:p>
        </w:tc>
        <w:tc>
          <w:tcPr>
            <w:tcW w:w="1418" w:type="dxa"/>
            <w:vAlign w:val="bottom"/>
          </w:tcPr>
          <w:p w:rsidR="008A11AD" w:rsidRPr="00E86819" w:rsidRDefault="008A11AD" w:rsidP="0060558A">
            <w:pPr>
              <w:widowControl w:val="0"/>
              <w:jc w:val="right"/>
              <w:rPr>
                <w:rFonts w:ascii="Times New Roman" w:hAnsi="Times New Roman" w:cs="Times New Roman"/>
                <w:color w:val="212529"/>
                <w:sz w:val="18"/>
                <w:szCs w:val="18"/>
                <w:lang w:val="en-US"/>
              </w:rPr>
            </w:pPr>
            <w:r w:rsidRPr="00E86819">
              <w:rPr>
                <w:rFonts w:ascii="Times New Roman" w:hAnsi="Times New Roman" w:cs="Times New Roman"/>
                <w:color w:val="212529"/>
                <w:sz w:val="18"/>
                <w:szCs w:val="18"/>
                <w:lang w:val="en-US"/>
              </w:rPr>
              <w:t>2</w:t>
            </w:r>
          </w:p>
        </w:tc>
        <w:tc>
          <w:tcPr>
            <w:tcW w:w="1411" w:type="dxa"/>
            <w:vAlign w:val="bottom"/>
          </w:tcPr>
          <w:p w:rsidR="008A11AD" w:rsidRPr="00E86819" w:rsidRDefault="008A11AD" w:rsidP="0060558A">
            <w:pPr>
              <w:widowControl w:val="0"/>
              <w:jc w:val="right"/>
              <w:rPr>
                <w:rFonts w:ascii="Times New Roman" w:hAnsi="Times New Roman" w:cs="Times New Roman"/>
                <w:color w:val="212529"/>
                <w:sz w:val="18"/>
                <w:szCs w:val="18"/>
                <w:lang w:val="en-US"/>
              </w:rPr>
            </w:pPr>
            <w:r w:rsidRPr="00E86819">
              <w:rPr>
                <w:rFonts w:ascii="Times New Roman" w:hAnsi="Times New Roman" w:cs="Times New Roman"/>
                <w:color w:val="212529"/>
                <w:sz w:val="18"/>
                <w:szCs w:val="18"/>
                <w:lang w:val="en-US"/>
              </w:rPr>
              <w:t>-11,18</w:t>
            </w:r>
          </w:p>
        </w:tc>
      </w:tr>
      <w:tr w:rsidR="008A11AD" w:rsidRPr="008A11AD" w:rsidTr="00B664A1">
        <w:tc>
          <w:tcPr>
            <w:tcW w:w="1696" w:type="dxa"/>
          </w:tcPr>
          <w:p w:rsidR="008A11AD" w:rsidRPr="008A11AD" w:rsidRDefault="00E86819"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Коваль С. М.</w:t>
            </w:r>
          </w:p>
        </w:tc>
        <w:tc>
          <w:tcPr>
            <w:tcW w:w="1418" w:type="dxa"/>
            <w:vAlign w:val="bottom"/>
          </w:tcPr>
          <w:p w:rsidR="008A11AD" w:rsidRPr="00E86819" w:rsidRDefault="008A11AD" w:rsidP="0060558A">
            <w:pPr>
              <w:widowControl w:val="0"/>
              <w:jc w:val="right"/>
              <w:rPr>
                <w:rFonts w:ascii="Times New Roman" w:hAnsi="Times New Roman" w:cs="Times New Roman"/>
                <w:color w:val="212529"/>
                <w:sz w:val="18"/>
                <w:szCs w:val="18"/>
                <w:lang w:val="en-US"/>
              </w:rPr>
            </w:pPr>
            <w:r w:rsidRPr="00E86819">
              <w:rPr>
                <w:rFonts w:ascii="Times New Roman" w:hAnsi="Times New Roman" w:cs="Times New Roman"/>
                <w:color w:val="212529"/>
                <w:sz w:val="18"/>
                <w:szCs w:val="18"/>
                <w:lang w:val="en-US"/>
              </w:rPr>
              <w:t>1</w:t>
            </w:r>
          </w:p>
        </w:tc>
        <w:tc>
          <w:tcPr>
            <w:tcW w:w="1411" w:type="dxa"/>
            <w:vAlign w:val="bottom"/>
          </w:tcPr>
          <w:p w:rsidR="008A11AD" w:rsidRPr="00E86819" w:rsidRDefault="008A11AD" w:rsidP="0060558A">
            <w:pPr>
              <w:widowControl w:val="0"/>
              <w:jc w:val="right"/>
              <w:rPr>
                <w:rFonts w:ascii="Times New Roman" w:hAnsi="Times New Roman" w:cs="Times New Roman"/>
                <w:color w:val="212529"/>
                <w:sz w:val="18"/>
                <w:szCs w:val="18"/>
                <w:lang w:val="en-US"/>
              </w:rPr>
            </w:pPr>
            <w:r w:rsidRPr="00E86819">
              <w:rPr>
                <w:rFonts w:ascii="Times New Roman" w:hAnsi="Times New Roman" w:cs="Times New Roman"/>
                <w:color w:val="212529"/>
                <w:sz w:val="18"/>
                <w:szCs w:val="18"/>
                <w:lang w:val="en-US"/>
              </w:rPr>
              <w:t>6,53</w:t>
            </w:r>
          </w:p>
        </w:tc>
      </w:tr>
      <w:tr w:rsidR="008A11AD" w:rsidRPr="008A11AD" w:rsidTr="00B664A1">
        <w:tc>
          <w:tcPr>
            <w:tcW w:w="1696" w:type="dxa"/>
          </w:tcPr>
          <w:p w:rsidR="008A11AD" w:rsidRPr="008A11AD" w:rsidRDefault="00E86819" w:rsidP="0060558A">
            <w:pPr>
              <w:widowControl w:val="0"/>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Кочетов В. В. </w:t>
            </w:r>
          </w:p>
        </w:tc>
        <w:tc>
          <w:tcPr>
            <w:tcW w:w="1418" w:type="dxa"/>
            <w:vAlign w:val="bottom"/>
          </w:tcPr>
          <w:p w:rsidR="008A11AD" w:rsidRPr="00E86819" w:rsidRDefault="008A11AD" w:rsidP="0060558A">
            <w:pPr>
              <w:widowControl w:val="0"/>
              <w:jc w:val="right"/>
              <w:rPr>
                <w:rFonts w:ascii="Times New Roman" w:hAnsi="Times New Roman" w:cs="Times New Roman"/>
                <w:color w:val="212529"/>
                <w:sz w:val="18"/>
                <w:szCs w:val="18"/>
                <w:lang w:val="en-US"/>
              </w:rPr>
            </w:pPr>
            <w:r w:rsidRPr="00E86819">
              <w:rPr>
                <w:rFonts w:ascii="Times New Roman" w:hAnsi="Times New Roman" w:cs="Times New Roman"/>
                <w:color w:val="212529"/>
                <w:sz w:val="18"/>
                <w:szCs w:val="18"/>
                <w:lang w:val="en-US"/>
              </w:rPr>
              <w:t>0,04815692</w:t>
            </w:r>
          </w:p>
        </w:tc>
        <w:tc>
          <w:tcPr>
            <w:tcW w:w="1411" w:type="dxa"/>
            <w:vAlign w:val="bottom"/>
          </w:tcPr>
          <w:p w:rsidR="008A11AD" w:rsidRPr="00E86819" w:rsidRDefault="008A11AD" w:rsidP="0060558A">
            <w:pPr>
              <w:widowControl w:val="0"/>
              <w:jc w:val="right"/>
              <w:rPr>
                <w:rFonts w:ascii="Times New Roman" w:hAnsi="Times New Roman" w:cs="Times New Roman"/>
                <w:color w:val="212529"/>
                <w:sz w:val="18"/>
                <w:szCs w:val="18"/>
                <w:lang w:val="en-US"/>
              </w:rPr>
            </w:pPr>
            <w:r w:rsidRPr="00E86819">
              <w:rPr>
                <w:rFonts w:ascii="Times New Roman" w:hAnsi="Times New Roman" w:cs="Times New Roman"/>
                <w:color w:val="212529"/>
                <w:sz w:val="18"/>
                <w:szCs w:val="18"/>
                <w:lang w:val="en-US"/>
              </w:rPr>
              <w:t>98,08</w:t>
            </w:r>
          </w:p>
        </w:tc>
      </w:tr>
    </w:tbl>
    <w:p w:rsidR="008A11AD" w:rsidRDefault="008A11AD" w:rsidP="0060558A">
      <w:pPr>
        <w:widowControl w:val="0"/>
        <w:ind w:firstLine="426"/>
        <w:jc w:val="both"/>
        <w:rPr>
          <w:rFonts w:ascii="Times New Roman" w:hAnsi="Times New Roman" w:cs="Times New Roman"/>
          <w:sz w:val="18"/>
          <w:szCs w:val="18"/>
          <w:lang w:val="uk-UA"/>
        </w:rPr>
      </w:pPr>
    </w:p>
    <w:p w:rsidR="002050DB" w:rsidRDefault="002050DB" w:rsidP="0060558A">
      <w:pPr>
        <w:widowControl w:val="0"/>
        <w:ind w:firstLine="426"/>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Дані табл. 1 показують, що задекларована вартість купівлі криптовалюти і розрахункова, що ґрунтується на офіційних курсах валют, не співпадають. Звичайно, відхилення, що не перевищу 5 %, </w:t>
      </w:r>
      <w:r w:rsidRPr="002050DB">
        <w:rPr>
          <w:rFonts w:ascii="Times New Roman" w:hAnsi="Times New Roman" w:cs="Times New Roman"/>
          <w:sz w:val="20"/>
          <w:szCs w:val="20"/>
          <w:lang w:val="uk-UA"/>
        </w:rPr>
        <w:t xml:space="preserve">можна віднести на похибку розрахунків, оскільки курс </w:t>
      </w:r>
      <w:r w:rsidRPr="002050DB">
        <w:rPr>
          <w:rFonts w:ascii="Times New Roman" w:hAnsi="Times New Roman" w:cs="Times New Roman"/>
          <w:sz w:val="20"/>
          <w:szCs w:val="20"/>
          <w:lang w:val="en-US"/>
        </w:rPr>
        <w:t>Bitcoin</w:t>
      </w:r>
      <w:r w:rsidRPr="002050DB">
        <w:rPr>
          <w:rFonts w:ascii="Times New Roman" w:hAnsi="Times New Roman" w:cs="Times New Roman"/>
          <w:sz w:val="20"/>
          <w:szCs w:val="20"/>
          <w:lang w:val="uk-UA"/>
        </w:rPr>
        <w:t xml:space="preserve"> зафіксовано з лагом 7 днів, а курс долара США по відношенню до гривні за минули роки взято середньомісячний, а не щоденний.</w:t>
      </w:r>
      <w:r>
        <w:rPr>
          <w:rFonts w:ascii="Times New Roman" w:hAnsi="Times New Roman" w:cs="Times New Roman"/>
          <w:sz w:val="20"/>
          <w:szCs w:val="20"/>
          <w:lang w:val="uk-UA"/>
        </w:rPr>
        <w:t xml:space="preserve"> З урахуванням цього припущення можна вважати, що чотири посадовця вказали правдиву інформацію, а отже самостійно здійснювали купівлю криптовалюти. Проте, більшість </w:t>
      </w:r>
      <w:r>
        <w:rPr>
          <w:rFonts w:ascii="Times New Roman" w:hAnsi="Times New Roman" w:cs="Times New Roman"/>
          <w:sz w:val="20"/>
          <w:szCs w:val="20"/>
          <w:lang w:val="uk-UA"/>
        </w:rPr>
        <w:lastRenderedPageBreak/>
        <w:t xml:space="preserve">чиновників вказали значно меншу або значно більшу вартість купівлі </w:t>
      </w:r>
      <w:r w:rsidRPr="002050DB">
        <w:rPr>
          <w:rFonts w:ascii="Times New Roman" w:hAnsi="Times New Roman" w:cs="Times New Roman"/>
          <w:sz w:val="20"/>
          <w:szCs w:val="20"/>
          <w:lang w:val="en-US"/>
        </w:rPr>
        <w:t>Bitcoin</w:t>
      </w:r>
      <w:r>
        <w:rPr>
          <w:rFonts w:ascii="Times New Roman" w:hAnsi="Times New Roman" w:cs="Times New Roman"/>
          <w:sz w:val="20"/>
          <w:szCs w:val="20"/>
          <w:lang w:val="uk-UA"/>
        </w:rPr>
        <w:t xml:space="preserve">. </w:t>
      </w:r>
    </w:p>
    <w:p w:rsidR="002050DB" w:rsidRDefault="002050DB" w:rsidP="0060558A">
      <w:pPr>
        <w:widowControl w:val="0"/>
        <w:ind w:firstLine="426"/>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Так, </w:t>
      </w:r>
      <w:r w:rsidR="0060558A">
        <w:rPr>
          <w:rFonts w:ascii="Times New Roman" w:hAnsi="Times New Roman" w:cs="Times New Roman"/>
          <w:sz w:val="20"/>
          <w:szCs w:val="20"/>
          <w:lang w:val="uk-UA"/>
        </w:rPr>
        <w:t xml:space="preserve">5 чиновників суттєво зменшили вартість придбаної криптовалюти, зокрема: Тягур В. М., заступник директора з навчальної роботи Гуманітарно-педагогічного коледжу Мукачевського державного університету зменшив удвічі (на 99,74 %) власні витрати на придбання </w:t>
      </w:r>
      <w:r w:rsidR="0060558A" w:rsidRPr="002050DB">
        <w:rPr>
          <w:rFonts w:ascii="Times New Roman" w:hAnsi="Times New Roman" w:cs="Times New Roman"/>
          <w:sz w:val="20"/>
          <w:szCs w:val="20"/>
          <w:lang w:val="en-US"/>
        </w:rPr>
        <w:t>Bitcoin</w:t>
      </w:r>
      <w:r w:rsidR="0060558A">
        <w:rPr>
          <w:rFonts w:ascii="Times New Roman" w:hAnsi="Times New Roman" w:cs="Times New Roman"/>
          <w:sz w:val="20"/>
          <w:szCs w:val="20"/>
          <w:lang w:val="uk-UA"/>
        </w:rPr>
        <w:t xml:space="preserve">; Табунщик Р. А., депутат Одеської обласної ради, який володіє 1600 </w:t>
      </w:r>
      <w:r w:rsidR="0060558A" w:rsidRPr="002050DB">
        <w:rPr>
          <w:rFonts w:ascii="Times New Roman" w:hAnsi="Times New Roman" w:cs="Times New Roman"/>
          <w:sz w:val="20"/>
          <w:szCs w:val="20"/>
          <w:lang w:val="en-US"/>
        </w:rPr>
        <w:t>Bitcoin</w:t>
      </w:r>
      <w:r w:rsidR="0060558A">
        <w:rPr>
          <w:rFonts w:ascii="Times New Roman" w:hAnsi="Times New Roman" w:cs="Times New Roman"/>
          <w:sz w:val="20"/>
          <w:szCs w:val="20"/>
          <w:lang w:val="uk-UA"/>
        </w:rPr>
        <w:t xml:space="preserve">, вказав вартість купівлі активу на 31,30 %, тобто зменшив власні витрати за цією операцією на 30 %. Є у списку (табл. 1) і такі державні службовці, які навпаки, вказали значно вищу вартість придбання </w:t>
      </w:r>
      <w:r w:rsidR="0060558A" w:rsidRPr="002050DB">
        <w:rPr>
          <w:rFonts w:ascii="Times New Roman" w:hAnsi="Times New Roman" w:cs="Times New Roman"/>
          <w:sz w:val="20"/>
          <w:szCs w:val="20"/>
          <w:lang w:val="en-US"/>
        </w:rPr>
        <w:t>Bitcoin</w:t>
      </w:r>
      <w:r w:rsidR="0060558A">
        <w:rPr>
          <w:rFonts w:ascii="Times New Roman" w:hAnsi="Times New Roman" w:cs="Times New Roman"/>
          <w:sz w:val="20"/>
          <w:szCs w:val="20"/>
          <w:lang w:val="uk-UA"/>
        </w:rPr>
        <w:t xml:space="preserve">: Кривошея В. В., який володіє 3493 </w:t>
      </w:r>
      <w:r w:rsidR="0060558A" w:rsidRPr="002050DB">
        <w:rPr>
          <w:rFonts w:ascii="Times New Roman" w:hAnsi="Times New Roman" w:cs="Times New Roman"/>
          <w:sz w:val="20"/>
          <w:szCs w:val="20"/>
          <w:lang w:val="en-US"/>
        </w:rPr>
        <w:t>Bitcoin</w:t>
      </w:r>
      <w:r w:rsidR="0060558A">
        <w:rPr>
          <w:rFonts w:ascii="Times New Roman" w:hAnsi="Times New Roman" w:cs="Times New Roman"/>
          <w:sz w:val="20"/>
          <w:szCs w:val="20"/>
          <w:lang w:val="uk-UA"/>
        </w:rPr>
        <w:t xml:space="preserve">, перебільшів вартість купівлі активу у 3 рази; Ніколайчук Р. П. – у 1,5 рази і т.д. </w:t>
      </w:r>
    </w:p>
    <w:p w:rsidR="0060558A" w:rsidRPr="00543931" w:rsidRDefault="0060558A" w:rsidP="0060558A">
      <w:pPr>
        <w:widowControl w:val="0"/>
        <w:ind w:firstLine="426"/>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Таким чином, більшість задекларованої державними службовцями інформації </w:t>
      </w:r>
      <w:r w:rsidR="00671F37">
        <w:rPr>
          <w:rFonts w:ascii="Times New Roman" w:hAnsi="Times New Roman" w:cs="Times New Roman"/>
          <w:sz w:val="20"/>
          <w:szCs w:val="20"/>
          <w:lang w:val="uk-UA"/>
        </w:rPr>
        <w:t>у 2015</w:t>
      </w:r>
      <w:r w:rsidR="00543931">
        <w:rPr>
          <w:rFonts w:ascii="Times New Roman" w:hAnsi="Times New Roman" w:cs="Times New Roman"/>
          <w:sz w:val="20"/>
          <w:szCs w:val="20"/>
          <w:lang w:val="uk-UA"/>
        </w:rPr>
        <w:t xml:space="preserve">-2017 роках </w:t>
      </w:r>
      <w:r>
        <w:rPr>
          <w:rFonts w:ascii="Times New Roman" w:hAnsi="Times New Roman" w:cs="Times New Roman"/>
          <w:sz w:val="20"/>
          <w:szCs w:val="20"/>
          <w:lang w:val="uk-UA"/>
        </w:rPr>
        <w:t xml:space="preserve">не відповідає дійсності. Складається таке враження, що операції з купівлі криптовалюти проводили чиновники не самостійно, а отже виникає підозра щодо корупційного шляху набуття ними </w:t>
      </w:r>
      <w:r w:rsidRPr="002050DB">
        <w:rPr>
          <w:rFonts w:ascii="Times New Roman" w:hAnsi="Times New Roman" w:cs="Times New Roman"/>
          <w:sz w:val="20"/>
          <w:szCs w:val="20"/>
          <w:lang w:val="en-US"/>
        </w:rPr>
        <w:t>Bitcoin</w:t>
      </w:r>
      <w:r>
        <w:rPr>
          <w:rFonts w:ascii="Times New Roman" w:hAnsi="Times New Roman" w:cs="Times New Roman"/>
          <w:sz w:val="20"/>
          <w:szCs w:val="20"/>
          <w:lang w:val="uk-UA"/>
        </w:rPr>
        <w:t>.</w:t>
      </w:r>
      <w:r w:rsidR="00543931">
        <w:rPr>
          <w:rFonts w:ascii="Times New Roman" w:hAnsi="Times New Roman" w:cs="Times New Roman"/>
          <w:sz w:val="20"/>
          <w:szCs w:val="20"/>
          <w:lang w:val="uk-UA"/>
        </w:rPr>
        <w:t xml:space="preserve"> На жаль, у зв’язку із відсутністю належного правового регулювання обігу криптовалюти в Україні не має законних підстав для того, щоб вимагати у чиновників додатково розкрити інформацію щодо операцій з криптовалютою </w:t>
      </w:r>
      <w:r w:rsidR="00671F37">
        <w:rPr>
          <w:rFonts w:ascii="Times New Roman" w:hAnsi="Times New Roman" w:cs="Times New Roman"/>
          <w:sz w:val="20"/>
          <w:szCs w:val="20"/>
          <w:lang w:val="uk-UA"/>
        </w:rPr>
        <w:t xml:space="preserve">(наприклад, отримати доступ до перегляду гаманця криптовалюти) </w:t>
      </w:r>
      <w:r w:rsidR="00543931">
        <w:rPr>
          <w:rFonts w:ascii="Times New Roman" w:hAnsi="Times New Roman" w:cs="Times New Roman"/>
          <w:sz w:val="20"/>
          <w:szCs w:val="20"/>
          <w:lang w:val="uk-UA"/>
        </w:rPr>
        <w:t xml:space="preserve">та розслідувати факти невідповідності інформації. Саме питання правового регулювання обігу </w:t>
      </w:r>
      <w:r w:rsidR="00543931" w:rsidRPr="002050DB">
        <w:rPr>
          <w:rFonts w:ascii="Times New Roman" w:hAnsi="Times New Roman" w:cs="Times New Roman"/>
          <w:sz w:val="20"/>
          <w:szCs w:val="20"/>
          <w:lang w:val="en-US"/>
        </w:rPr>
        <w:t>Bitcoin</w:t>
      </w:r>
      <w:r w:rsidR="00543931">
        <w:rPr>
          <w:rFonts w:ascii="Times New Roman" w:hAnsi="Times New Roman" w:cs="Times New Roman"/>
          <w:sz w:val="20"/>
          <w:szCs w:val="20"/>
          <w:lang w:val="uk-UA"/>
        </w:rPr>
        <w:t xml:space="preserve"> та інших криптовалют є найбільшою перепоною у викритті корупції державних службовців у формі </w:t>
      </w:r>
      <w:r w:rsidR="00671F37">
        <w:rPr>
          <w:rFonts w:ascii="Times New Roman" w:hAnsi="Times New Roman" w:cs="Times New Roman"/>
          <w:sz w:val="20"/>
          <w:szCs w:val="20"/>
          <w:lang w:val="uk-UA"/>
        </w:rPr>
        <w:t xml:space="preserve">операцій з </w:t>
      </w:r>
      <w:r w:rsidR="00543931">
        <w:rPr>
          <w:rFonts w:ascii="Times New Roman" w:hAnsi="Times New Roman" w:cs="Times New Roman"/>
          <w:sz w:val="20"/>
          <w:szCs w:val="20"/>
          <w:lang w:val="uk-UA"/>
        </w:rPr>
        <w:t>криптовалют</w:t>
      </w:r>
      <w:r w:rsidR="00671F37">
        <w:rPr>
          <w:rFonts w:ascii="Times New Roman" w:hAnsi="Times New Roman" w:cs="Times New Roman"/>
          <w:sz w:val="20"/>
          <w:szCs w:val="20"/>
          <w:lang w:val="uk-UA"/>
        </w:rPr>
        <w:t>ами.</w:t>
      </w:r>
    </w:p>
    <w:p w:rsidR="001D68F6" w:rsidRPr="008A11AD" w:rsidRDefault="001D68F6" w:rsidP="0060558A">
      <w:pPr>
        <w:widowControl w:val="0"/>
        <w:ind w:firstLine="426"/>
        <w:jc w:val="center"/>
        <w:rPr>
          <w:rFonts w:ascii="Times New Roman" w:hAnsi="Times New Roman" w:cs="Times New Roman"/>
          <w:b/>
          <w:sz w:val="18"/>
          <w:szCs w:val="18"/>
          <w:lang w:val="uk-UA"/>
        </w:rPr>
      </w:pPr>
    </w:p>
    <w:p w:rsidR="001D68F6" w:rsidRPr="008116FA" w:rsidRDefault="008116FA" w:rsidP="0060558A">
      <w:pPr>
        <w:widowControl w:val="0"/>
        <w:jc w:val="center"/>
        <w:rPr>
          <w:sz w:val="20"/>
          <w:szCs w:val="20"/>
          <w:lang w:val="uk-UA"/>
        </w:rPr>
      </w:pPr>
      <w:r w:rsidRPr="00915B49">
        <w:rPr>
          <w:b/>
          <w:sz w:val="20"/>
          <w:szCs w:val="20"/>
          <w:lang w:val="uk-UA"/>
        </w:rPr>
        <w:t>Список літератури</w:t>
      </w:r>
    </w:p>
    <w:p w:rsidR="001D68F6" w:rsidRPr="00671F37" w:rsidRDefault="001D68F6" w:rsidP="0060558A">
      <w:pPr>
        <w:widowControl w:val="0"/>
        <w:ind w:firstLine="426"/>
        <w:jc w:val="center"/>
        <w:rPr>
          <w:rFonts w:ascii="Times New Roman" w:hAnsi="Times New Roman" w:cs="Times New Roman"/>
          <w:sz w:val="12"/>
          <w:szCs w:val="12"/>
          <w:lang w:val="uk-UA"/>
        </w:rPr>
      </w:pPr>
    </w:p>
    <w:p w:rsidR="008C1F3C" w:rsidRPr="0001545C" w:rsidRDefault="008C1F3C" w:rsidP="0060558A">
      <w:pPr>
        <w:pStyle w:val="a3"/>
        <w:widowControl w:val="0"/>
        <w:numPr>
          <w:ilvl w:val="0"/>
          <w:numId w:val="1"/>
        </w:numPr>
        <w:tabs>
          <w:tab w:val="left" w:pos="993"/>
        </w:tabs>
        <w:ind w:left="0" w:firstLine="426"/>
        <w:jc w:val="both"/>
        <w:rPr>
          <w:rFonts w:ascii="Times New Roman" w:hAnsi="Times New Roman" w:cs="Times New Roman"/>
          <w:sz w:val="18"/>
          <w:szCs w:val="18"/>
          <w:lang w:val="en-US"/>
        </w:rPr>
      </w:pPr>
      <w:r w:rsidRPr="0001545C">
        <w:rPr>
          <w:rFonts w:ascii="Times New Roman" w:eastAsia="Times New Roman" w:hAnsi="Times New Roman" w:cs="Times New Roman"/>
          <w:sz w:val="18"/>
          <w:szCs w:val="18"/>
          <w:lang w:val="en-US" w:eastAsia="ru-RU"/>
        </w:rPr>
        <w:t>Corruption</w:t>
      </w:r>
      <w:r w:rsidRPr="0001545C">
        <w:rPr>
          <w:rFonts w:ascii="Times New Roman" w:eastAsia="Times New Roman" w:hAnsi="Times New Roman" w:cs="Times New Roman"/>
          <w:sz w:val="18"/>
          <w:szCs w:val="18"/>
          <w:lang w:val="uk-UA" w:eastAsia="ru-RU"/>
        </w:rPr>
        <w:t xml:space="preserve"> </w:t>
      </w:r>
      <w:r w:rsidRPr="0001545C">
        <w:rPr>
          <w:rFonts w:ascii="Times New Roman" w:eastAsia="Times New Roman" w:hAnsi="Times New Roman" w:cs="Times New Roman"/>
          <w:sz w:val="18"/>
          <w:szCs w:val="18"/>
          <w:lang w:val="en-US" w:eastAsia="ru-RU"/>
        </w:rPr>
        <w:t>Perceptions</w:t>
      </w:r>
      <w:r w:rsidRPr="0001545C">
        <w:rPr>
          <w:rFonts w:ascii="Times New Roman" w:eastAsia="Times New Roman" w:hAnsi="Times New Roman" w:cs="Times New Roman"/>
          <w:sz w:val="18"/>
          <w:szCs w:val="18"/>
          <w:lang w:val="uk-UA" w:eastAsia="ru-RU"/>
        </w:rPr>
        <w:t xml:space="preserve"> </w:t>
      </w:r>
      <w:r w:rsidRPr="0001545C">
        <w:rPr>
          <w:rFonts w:ascii="Times New Roman" w:eastAsia="Times New Roman" w:hAnsi="Times New Roman" w:cs="Times New Roman"/>
          <w:sz w:val="18"/>
          <w:szCs w:val="18"/>
          <w:lang w:val="en-US" w:eastAsia="ru-RU"/>
        </w:rPr>
        <w:t>Index</w:t>
      </w:r>
      <w:r w:rsidRPr="0001545C">
        <w:rPr>
          <w:rFonts w:ascii="Times New Roman" w:eastAsia="Times New Roman" w:hAnsi="Times New Roman" w:cs="Times New Roman"/>
          <w:sz w:val="18"/>
          <w:szCs w:val="18"/>
          <w:lang w:val="uk-UA" w:eastAsia="ru-RU"/>
        </w:rPr>
        <w:t xml:space="preserve"> 2016: – [</w:t>
      </w:r>
      <w:r w:rsidR="00386B05">
        <w:rPr>
          <w:rFonts w:ascii="Times New Roman" w:eastAsia="Times New Roman" w:hAnsi="Times New Roman" w:cs="Times New Roman"/>
          <w:sz w:val="18"/>
          <w:szCs w:val="18"/>
          <w:lang w:val="en-US" w:eastAsia="ru-RU"/>
        </w:rPr>
        <w:t>Online</w:t>
      </w:r>
      <w:r w:rsidRPr="0001545C">
        <w:rPr>
          <w:rFonts w:ascii="Times New Roman" w:eastAsia="Times New Roman" w:hAnsi="Times New Roman" w:cs="Times New Roman"/>
          <w:sz w:val="18"/>
          <w:szCs w:val="18"/>
          <w:lang w:val="uk-UA" w:eastAsia="ru-RU"/>
        </w:rPr>
        <w:t xml:space="preserve">]. – </w:t>
      </w:r>
      <w:r w:rsidR="00386B05">
        <w:rPr>
          <w:rFonts w:ascii="Times New Roman" w:eastAsia="Times New Roman" w:hAnsi="Times New Roman" w:cs="Times New Roman"/>
          <w:sz w:val="18"/>
          <w:szCs w:val="18"/>
          <w:lang w:val="en-US" w:eastAsia="ru-RU"/>
        </w:rPr>
        <w:t>Available</w:t>
      </w:r>
      <w:r w:rsidRPr="0001545C">
        <w:rPr>
          <w:rFonts w:ascii="Times New Roman" w:eastAsia="Times New Roman" w:hAnsi="Times New Roman" w:cs="Times New Roman"/>
          <w:sz w:val="18"/>
          <w:szCs w:val="18"/>
          <w:lang w:val="uk-UA" w:eastAsia="ru-RU"/>
        </w:rPr>
        <w:t xml:space="preserve">: </w:t>
      </w:r>
      <w:hyperlink r:id="rId6" w:history="1">
        <w:r w:rsidRPr="0001545C">
          <w:rPr>
            <w:rStyle w:val="a4"/>
            <w:rFonts w:ascii="Times New Roman" w:eastAsia="Times New Roman" w:hAnsi="Times New Roman" w:cs="Times New Roman"/>
            <w:color w:val="auto"/>
            <w:sz w:val="18"/>
            <w:szCs w:val="18"/>
            <w:u w:val="none"/>
            <w:lang w:val="en-US" w:eastAsia="ru-RU"/>
          </w:rPr>
          <w:t>https://www.transparency.org/news/feature/corruption_perceptions_index_2016</w:t>
        </w:r>
      </w:hyperlink>
      <w:r w:rsidRPr="0001545C">
        <w:rPr>
          <w:rFonts w:ascii="Times New Roman" w:eastAsia="Times New Roman" w:hAnsi="Times New Roman" w:cs="Times New Roman"/>
          <w:sz w:val="18"/>
          <w:szCs w:val="18"/>
          <w:lang w:val="uk-UA" w:eastAsia="ru-RU"/>
        </w:rPr>
        <w:t>.</w:t>
      </w:r>
      <w:r w:rsidR="00386B05">
        <w:rPr>
          <w:rFonts w:ascii="Times New Roman" w:eastAsia="Times New Roman" w:hAnsi="Times New Roman" w:cs="Times New Roman"/>
          <w:sz w:val="18"/>
          <w:szCs w:val="18"/>
          <w:lang w:val="uk-UA" w:eastAsia="ru-RU"/>
        </w:rPr>
        <w:t xml:space="preserve"> </w:t>
      </w:r>
      <w:r w:rsidR="00386B05">
        <w:rPr>
          <w:rFonts w:ascii="Times New Roman" w:eastAsia="Times New Roman" w:hAnsi="Times New Roman" w:cs="Times New Roman"/>
          <w:sz w:val="18"/>
          <w:szCs w:val="18"/>
          <w:lang w:val="en-US" w:eastAsia="ru-RU"/>
        </w:rPr>
        <w:t>Accessed on: March 23, 2018.</w:t>
      </w:r>
    </w:p>
    <w:p w:rsidR="001D68F6" w:rsidRPr="0001545C" w:rsidRDefault="00664623" w:rsidP="0060558A">
      <w:pPr>
        <w:pStyle w:val="a3"/>
        <w:widowControl w:val="0"/>
        <w:numPr>
          <w:ilvl w:val="0"/>
          <w:numId w:val="1"/>
        </w:numPr>
        <w:ind w:left="0" w:firstLine="426"/>
        <w:jc w:val="both"/>
        <w:rPr>
          <w:rFonts w:ascii="Times New Roman" w:hAnsi="Times New Roman" w:cs="Times New Roman"/>
          <w:sz w:val="18"/>
          <w:szCs w:val="18"/>
          <w:lang w:val="uk-UA"/>
        </w:rPr>
      </w:pPr>
      <w:r w:rsidRPr="0001545C">
        <w:rPr>
          <w:rFonts w:ascii="Times New Roman" w:hAnsi="Times New Roman" w:cs="Times New Roman"/>
          <w:sz w:val="18"/>
          <w:szCs w:val="18"/>
          <w:lang w:val="uk-UA"/>
        </w:rPr>
        <w:t xml:space="preserve">Небезпечна тенденція: тіньовий банківський сектор у світі зростає [Електронний ресурс]. </w:t>
      </w:r>
      <w:r w:rsidR="00386B05" w:rsidRPr="00386B05">
        <w:rPr>
          <w:rFonts w:ascii="Times New Roman" w:hAnsi="Times New Roman" w:cs="Times New Roman"/>
          <w:sz w:val="18"/>
          <w:szCs w:val="18"/>
        </w:rPr>
        <w:t>Д</w:t>
      </w:r>
      <w:proofErr w:type="spellStart"/>
      <w:r w:rsidR="00386B05">
        <w:rPr>
          <w:rFonts w:ascii="Times New Roman" w:hAnsi="Times New Roman" w:cs="Times New Roman"/>
          <w:sz w:val="18"/>
          <w:szCs w:val="18"/>
          <w:lang w:val="uk-UA"/>
        </w:rPr>
        <w:t>о</w:t>
      </w:r>
      <w:r w:rsidRPr="0001545C">
        <w:rPr>
          <w:rFonts w:ascii="Times New Roman" w:hAnsi="Times New Roman" w:cs="Times New Roman"/>
          <w:sz w:val="18"/>
          <w:szCs w:val="18"/>
          <w:lang w:val="uk-UA"/>
        </w:rPr>
        <w:t>ступ</w:t>
      </w:r>
      <w:r w:rsidR="00386B05">
        <w:rPr>
          <w:rFonts w:ascii="Times New Roman" w:hAnsi="Times New Roman" w:cs="Times New Roman"/>
          <w:sz w:val="18"/>
          <w:szCs w:val="18"/>
          <w:lang w:val="uk-UA"/>
        </w:rPr>
        <w:t>но</w:t>
      </w:r>
      <w:proofErr w:type="spellEnd"/>
      <w:r w:rsidRPr="0001545C">
        <w:rPr>
          <w:rFonts w:ascii="Times New Roman" w:hAnsi="Times New Roman" w:cs="Times New Roman"/>
          <w:sz w:val="18"/>
          <w:szCs w:val="18"/>
          <w:lang w:val="uk-UA"/>
        </w:rPr>
        <w:t xml:space="preserve">: </w:t>
      </w:r>
      <w:hyperlink r:id="rId7" w:history="1">
        <w:r w:rsidR="00AE699D" w:rsidRPr="0001545C">
          <w:rPr>
            <w:rStyle w:val="a4"/>
            <w:rFonts w:ascii="Times New Roman" w:hAnsi="Times New Roman" w:cs="Times New Roman"/>
            <w:color w:val="auto"/>
            <w:sz w:val="18"/>
            <w:szCs w:val="18"/>
            <w:u w:val="none"/>
            <w:lang w:val="uk-UA"/>
          </w:rPr>
          <w:t>https://mind.ua/news/20182423-nebezpechna-tendenciya-tinovij-bankivskij-sektor-u-sviti-zrostae?utm_medium=social&amp;utm_source=facebook.com&amp;utm_campaign=nebezpechna-tendenciya-tinovij-bankivskij-sektor-u-sviti-zrostae</w:t>
        </w:r>
      </w:hyperlink>
      <w:r w:rsidR="00671F37" w:rsidRPr="0001545C">
        <w:rPr>
          <w:rStyle w:val="a4"/>
          <w:rFonts w:ascii="Times New Roman" w:hAnsi="Times New Roman" w:cs="Times New Roman"/>
          <w:color w:val="auto"/>
          <w:sz w:val="18"/>
          <w:szCs w:val="18"/>
          <w:u w:val="none"/>
          <w:lang w:val="uk-UA"/>
        </w:rPr>
        <w:t>.</w:t>
      </w:r>
      <w:r w:rsidR="00386B05" w:rsidRPr="00386B05">
        <w:rPr>
          <w:rStyle w:val="a4"/>
          <w:rFonts w:ascii="Times New Roman" w:hAnsi="Times New Roman" w:cs="Times New Roman"/>
          <w:color w:val="auto"/>
          <w:sz w:val="18"/>
          <w:szCs w:val="18"/>
          <w:u w:val="none"/>
        </w:rPr>
        <w:t xml:space="preserve"> Д</w:t>
      </w:r>
      <w:proofErr w:type="spellStart"/>
      <w:r w:rsidR="00386B05">
        <w:rPr>
          <w:rStyle w:val="a4"/>
          <w:rFonts w:ascii="Times New Roman" w:hAnsi="Times New Roman" w:cs="Times New Roman"/>
          <w:color w:val="auto"/>
          <w:sz w:val="18"/>
          <w:szCs w:val="18"/>
          <w:u w:val="none"/>
          <w:lang w:val="uk-UA"/>
        </w:rPr>
        <w:t>ата</w:t>
      </w:r>
      <w:proofErr w:type="spellEnd"/>
      <w:r w:rsidR="00386B05">
        <w:rPr>
          <w:rStyle w:val="a4"/>
          <w:rFonts w:ascii="Times New Roman" w:hAnsi="Times New Roman" w:cs="Times New Roman"/>
          <w:color w:val="auto"/>
          <w:sz w:val="18"/>
          <w:szCs w:val="18"/>
          <w:u w:val="none"/>
          <w:lang w:val="uk-UA"/>
        </w:rPr>
        <w:t xml:space="preserve"> звернення: Березень 23, 2018.</w:t>
      </w:r>
    </w:p>
    <w:p w:rsidR="00386B05" w:rsidRDefault="00386B05" w:rsidP="001C2731">
      <w:pPr>
        <w:pStyle w:val="a3"/>
        <w:widowControl w:val="0"/>
        <w:numPr>
          <w:ilvl w:val="0"/>
          <w:numId w:val="1"/>
        </w:numPr>
        <w:ind w:left="0" w:firstLine="426"/>
        <w:jc w:val="both"/>
        <w:rPr>
          <w:rFonts w:ascii="Times New Roman" w:hAnsi="Times New Roman" w:cs="Times New Roman"/>
          <w:sz w:val="18"/>
          <w:szCs w:val="18"/>
          <w:lang w:val="uk-UA"/>
        </w:rPr>
      </w:pPr>
      <w:r w:rsidRPr="00386B05">
        <w:rPr>
          <w:rFonts w:ascii="Times New Roman" w:hAnsi="Times New Roman" w:cs="Times New Roman"/>
          <w:sz w:val="18"/>
          <w:szCs w:val="18"/>
          <w:lang w:val="uk-UA"/>
        </w:rPr>
        <w:t xml:space="preserve">Y. T. </w:t>
      </w:r>
      <w:proofErr w:type="spellStart"/>
      <w:r w:rsidR="00AE699D" w:rsidRPr="00386B05">
        <w:rPr>
          <w:rFonts w:ascii="Times New Roman" w:hAnsi="Times New Roman" w:cs="Times New Roman"/>
          <w:sz w:val="18"/>
          <w:szCs w:val="18"/>
          <w:lang w:val="uk-UA"/>
        </w:rPr>
        <w:t>Wu</w:t>
      </w:r>
      <w:proofErr w:type="spellEnd"/>
      <w:r w:rsidR="00AE699D" w:rsidRPr="00386B05">
        <w:rPr>
          <w:rFonts w:ascii="Times New Roman" w:hAnsi="Times New Roman" w:cs="Times New Roman"/>
          <w:sz w:val="18"/>
          <w:szCs w:val="18"/>
          <w:lang w:val="uk-UA"/>
        </w:rPr>
        <w:t xml:space="preserve"> </w:t>
      </w:r>
      <w:r w:rsidRPr="00386B05">
        <w:rPr>
          <w:rFonts w:ascii="Times New Roman" w:hAnsi="Times New Roman" w:cs="Times New Roman"/>
          <w:sz w:val="18"/>
          <w:szCs w:val="18"/>
          <w:lang w:val="uk-UA"/>
        </w:rPr>
        <w:t>"</w:t>
      </w:r>
      <w:proofErr w:type="spellStart"/>
      <w:r w:rsidR="00AE699D" w:rsidRPr="00386B05">
        <w:rPr>
          <w:rFonts w:ascii="Times New Roman" w:hAnsi="Times New Roman" w:cs="Times New Roman"/>
          <w:sz w:val="18"/>
          <w:szCs w:val="18"/>
          <w:lang w:val="uk-UA"/>
        </w:rPr>
        <w:t>Fintech</w:t>
      </w:r>
      <w:proofErr w:type="spellEnd"/>
      <w:r w:rsidR="00AE699D" w:rsidRPr="00386B05">
        <w:rPr>
          <w:rFonts w:ascii="Times New Roman" w:hAnsi="Times New Roman" w:cs="Times New Roman"/>
          <w:sz w:val="18"/>
          <w:szCs w:val="18"/>
          <w:lang w:val="uk-UA"/>
        </w:rPr>
        <w:t xml:space="preserve"> </w:t>
      </w:r>
      <w:proofErr w:type="spellStart"/>
      <w:r w:rsidR="00AE699D" w:rsidRPr="00386B05">
        <w:rPr>
          <w:rFonts w:ascii="Times New Roman" w:hAnsi="Times New Roman" w:cs="Times New Roman"/>
          <w:sz w:val="18"/>
          <w:szCs w:val="18"/>
          <w:lang w:val="uk-UA"/>
        </w:rPr>
        <w:t>Innovation</w:t>
      </w:r>
      <w:proofErr w:type="spellEnd"/>
      <w:r w:rsidR="00AE699D" w:rsidRPr="00386B05">
        <w:rPr>
          <w:rFonts w:ascii="Times New Roman" w:hAnsi="Times New Roman" w:cs="Times New Roman"/>
          <w:sz w:val="18"/>
          <w:szCs w:val="18"/>
          <w:lang w:val="uk-UA"/>
        </w:rPr>
        <w:t xml:space="preserve"> </w:t>
      </w:r>
      <w:proofErr w:type="spellStart"/>
      <w:r w:rsidR="00AE699D" w:rsidRPr="00386B05">
        <w:rPr>
          <w:rFonts w:ascii="Times New Roman" w:hAnsi="Times New Roman" w:cs="Times New Roman"/>
          <w:sz w:val="18"/>
          <w:szCs w:val="18"/>
          <w:lang w:val="uk-UA"/>
        </w:rPr>
        <w:t>and</w:t>
      </w:r>
      <w:proofErr w:type="spellEnd"/>
      <w:r w:rsidR="00AE699D" w:rsidRPr="00386B05">
        <w:rPr>
          <w:rFonts w:ascii="Times New Roman" w:hAnsi="Times New Roman" w:cs="Times New Roman"/>
          <w:sz w:val="18"/>
          <w:szCs w:val="18"/>
          <w:lang w:val="uk-UA"/>
        </w:rPr>
        <w:t xml:space="preserve"> </w:t>
      </w:r>
      <w:proofErr w:type="spellStart"/>
      <w:r w:rsidR="00AE699D" w:rsidRPr="00386B05">
        <w:rPr>
          <w:rFonts w:ascii="Times New Roman" w:hAnsi="Times New Roman" w:cs="Times New Roman"/>
          <w:sz w:val="18"/>
          <w:szCs w:val="18"/>
          <w:lang w:val="uk-UA"/>
        </w:rPr>
        <w:t>Anti</w:t>
      </w:r>
      <w:proofErr w:type="spellEnd"/>
      <w:r w:rsidR="00AE699D" w:rsidRPr="00386B05">
        <w:rPr>
          <w:rFonts w:ascii="Times New Roman" w:hAnsi="Times New Roman" w:cs="Times New Roman"/>
          <w:sz w:val="18"/>
          <w:szCs w:val="18"/>
          <w:lang w:val="uk-UA"/>
        </w:rPr>
        <w:t xml:space="preserve">-Money </w:t>
      </w:r>
      <w:proofErr w:type="spellStart"/>
      <w:r w:rsidR="00AE699D" w:rsidRPr="00386B05">
        <w:rPr>
          <w:rFonts w:ascii="Times New Roman" w:hAnsi="Times New Roman" w:cs="Times New Roman"/>
          <w:sz w:val="18"/>
          <w:szCs w:val="18"/>
          <w:lang w:val="uk-UA"/>
        </w:rPr>
        <w:t>Laundering</w:t>
      </w:r>
      <w:proofErr w:type="spellEnd"/>
      <w:r w:rsidR="00AE699D" w:rsidRPr="00386B05">
        <w:rPr>
          <w:rFonts w:ascii="Times New Roman" w:hAnsi="Times New Roman" w:cs="Times New Roman"/>
          <w:sz w:val="18"/>
          <w:szCs w:val="18"/>
          <w:lang w:val="uk-UA"/>
        </w:rPr>
        <w:t xml:space="preserve"> </w:t>
      </w:r>
      <w:proofErr w:type="spellStart"/>
      <w:r w:rsidR="00AE699D" w:rsidRPr="00386B05">
        <w:rPr>
          <w:rFonts w:ascii="Times New Roman" w:hAnsi="Times New Roman" w:cs="Times New Roman"/>
          <w:sz w:val="18"/>
          <w:szCs w:val="18"/>
          <w:lang w:val="uk-UA"/>
        </w:rPr>
        <w:t>Compliance</w:t>
      </w:r>
      <w:proofErr w:type="spellEnd"/>
      <w:r w:rsidRPr="00386B05">
        <w:rPr>
          <w:rFonts w:ascii="Times New Roman" w:hAnsi="Times New Roman" w:cs="Times New Roman"/>
          <w:sz w:val="18"/>
          <w:szCs w:val="18"/>
          <w:lang w:val="uk-UA"/>
        </w:rPr>
        <w:t>",</w:t>
      </w:r>
      <w:r w:rsidR="00AE699D" w:rsidRPr="00386B05">
        <w:rPr>
          <w:rFonts w:ascii="Times New Roman" w:hAnsi="Times New Roman" w:cs="Times New Roman"/>
          <w:sz w:val="18"/>
          <w:szCs w:val="18"/>
          <w:lang w:val="uk-UA"/>
        </w:rPr>
        <w:t xml:space="preserve"> </w:t>
      </w:r>
      <w:proofErr w:type="spellStart"/>
      <w:r w:rsidR="00C0089B" w:rsidRPr="00386B05">
        <w:rPr>
          <w:rFonts w:ascii="Times New Roman" w:hAnsi="Times New Roman" w:cs="Times New Roman"/>
          <w:sz w:val="18"/>
          <w:szCs w:val="18"/>
          <w:lang w:val="uk-UA"/>
        </w:rPr>
        <w:t>National</w:t>
      </w:r>
      <w:proofErr w:type="spellEnd"/>
      <w:r w:rsidR="00C0089B" w:rsidRPr="00386B05">
        <w:rPr>
          <w:rFonts w:ascii="Times New Roman" w:hAnsi="Times New Roman" w:cs="Times New Roman"/>
          <w:sz w:val="18"/>
          <w:szCs w:val="18"/>
          <w:lang w:val="uk-UA"/>
        </w:rPr>
        <w:t xml:space="preserve"> </w:t>
      </w:r>
      <w:proofErr w:type="spellStart"/>
      <w:r w:rsidR="00C0089B" w:rsidRPr="00386B05">
        <w:rPr>
          <w:rFonts w:ascii="Times New Roman" w:hAnsi="Times New Roman" w:cs="Times New Roman"/>
          <w:sz w:val="18"/>
          <w:szCs w:val="18"/>
          <w:lang w:val="uk-UA"/>
        </w:rPr>
        <w:t>Taiwan</w:t>
      </w:r>
      <w:proofErr w:type="spellEnd"/>
      <w:r w:rsidR="00C0089B" w:rsidRPr="00386B05">
        <w:rPr>
          <w:rFonts w:ascii="Times New Roman" w:hAnsi="Times New Roman" w:cs="Times New Roman"/>
          <w:sz w:val="18"/>
          <w:szCs w:val="18"/>
          <w:lang w:val="uk-UA"/>
        </w:rPr>
        <w:t xml:space="preserve"> </w:t>
      </w:r>
      <w:proofErr w:type="spellStart"/>
      <w:r w:rsidR="00C0089B" w:rsidRPr="00386B05">
        <w:rPr>
          <w:rFonts w:ascii="Times New Roman" w:hAnsi="Times New Roman" w:cs="Times New Roman"/>
          <w:sz w:val="18"/>
          <w:szCs w:val="18"/>
          <w:lang w:val="uk-UA"/>
        </w:rPr>
        <w:t>University</w:t>
      </w:r>
      <w:proofErr w:type="spellEnd"/>
      <w:r w:rsidR="00C0089B" w:rsidRPr="00386B05">
        <w:rPr>
          <w:rFonts w:ascii="Times New Roman" w:hAnsi="Times New Roman" w:cs="Times New Roman"/>
          <w:sz w:val="18"/>
          <w:szCs w:val="18"/>
          <w:lang w:val="uk-UA"/>
        </w:rPr>
        <w:t xml:space="preserve"> </w:t>
      </w:r>
      <w:proofErr w:type="spellStart"/>
      <w:r w:rsidR="00C0089B" w:rsidRPr="00386B05">
        <w:rPr>
          <w:rFonts w:ascii="Times New Roman" w:hAnsi="Times New Roman" w:cs="Times New Roman"/>
          <w:sz w:val="18"/>
          <w:szCs w:val="18"/>
          <w:lang w:val="uk-UA"/>
        </w:rPr>
        <w:t>Law</w:t>
      </w:r>
      <w:proofErr w:type="spellEnd"/>
      <w:r w:rsidR="00C0089B" w:rsidRPr="00386B05">
        <w:rPr>
          <w:rFonts w:ascii="Times New Roman" w:hAnsi="Times New Roman" w:cs="Times New Roman"/>
          <w:sz w:val="18"/>
          <w:szCs w:val="18"/>
          <w:lang w:val="uk-UA"/>
        </w:rPr>
        <w:t xml:space="preserve"> </w:t>
      </w:r>
      <w:proofErr w:type="spellStart"/>
      <w:r w:rsidR="00C0089B" w:rsidRPr="00386B05">
        <w:rPr>
          <w:rFonts w:ascii="Times New Roman" w:hAnsi="Times New Roman" w:cs="Times New Roman"/>
          <w:sz w:val="18"/>
          <w:szCs w:val="18"/>
          <w:lang w:val="uk-UA"/>
        </w:rPr>
        <w:t>R</w:t>
      </w:r>
      <w:r w:rsidRPr="00386B05">
        <w:rPr>
          <w:rFonts w:ascii="Times New Roman" w:hAnsi="Times New Roman" w:cs="Times New Roman"/>
          <w:sz w:val="18"/>
          <w:szCs w:val="18"/>
          <w:lang w:val="uk-UA"/>
        </w:rPr>
        <w:t>eview</w:t>
      </w:r>
      <w:proofErr w:type="spellEnd"/>
      <w:r w:rsidRPr="00386B05">
        <w:rPr>
          <w:rFonts w:ascii="Times New Roman" w:hAnsi="Times New Roman" w:cs="Times New Roman"/>
          <w:sz w:val="18"/>
          <w:szCs w:val="18"/>
          <w:lang w:val="uk-UA"/>
        </w:rPr>
        <w:t>,</w:t>
      </w:r>
      <w:r w:rsidR="00AE699D" w:rsidRPr="00386B05">
        <w:rPr>
          <w:rFonts w:ascii="Times New Roman" w:hAnsi="Times New Roman" w:cs="Times New Roman"/>
          <w:sz w:val="18"/>
          <w:szCs w:val="18"/>
          <w:lang w:val="uk-UA"/>
        </w:rPr>
        <w:t xml:space="preserve"> </w:t>
      </w:r>
      <w:proofErr w:type="spellStart"/>
      <w:r w:rsidRPr="00386B05">
        <w:rPr>
          <w:rFonts w:ascii="Times New Roman" w:hAnsi="Times New Roman" w:cs="Times New Roman"/>
          <w:sz w:val="18"/>
          <w:szCs w:val="18"/>
          <w:lang w:val="uk-UA"/>
        </w:rPr>
        <w:t>v</w:t>
      </w:r>
      <w:r w:rsidRPr="00386B05">
        <w:rPr>
          <w:rFonts w:ascii="Times New Roman" w:hAnsi="Times New Roman" w:cs="Times New Roman"/>
          <w:sz w:val="18"/>
          <w:szCs w:val="18"/>
          <w:lang w:val="uk-UA"/>
        </w:rPr>
        <w:t>ol</w:t>
      </w:r>
      <w:proofErr w:type="spellEnd"/>
      <w:r w:rsidRPr="00386B05">
        <w:rPr>
          <w:rFonts w:ascii="Times New Roman" w:hAnsi="Times New Roman" w:cs="Times New Roman"/>
          <w:sz w:val="18"/>
          <w:szCs w:val="18"/>
          <w:lang w:val="uk-UA"/>
        </w:rPr>
        <w:t>. 12</w:t>
      </w:r>
      <w:r w:rsidRPr="00386B05">
        <w:rPr>
          <w:rFonts w:ascii="Times New Roman" w:hAnsi="Times New Roman" w:cs="Times New Roman"/>
          <w:sz w:val="18"/>
          <w:szCs w:val="18"/>
          <w:lang w:val="uk-UA"/>
        </w:rPr>
        <w:t>,</w:t>
      </w:r>
      <w:r w:rsidRPr="00386B05">
        <w:rPr>
          <w:rFonts w:ascii="Times New Roman" w:hAnsi="Times New Roman" w:cs="Times New Roman"/>
          <w:sz w:val="18"/>
          <w:szCs w:val="18"/>
          <w:lang w:val="uk-UA"/>
        </w:rPr>
        <w:t xml:space="preserve"> </w:t>
      </w:r>
      <w:r w:rsidRPr="00386B05">
        <w:rPr>
          <w:rFonts w:ascii="Times New Roman" w:hAnsi="Times New Roman" w:cs="Times New Roman"/>
          <w:sz w:val="18"/>
          <w:szCs w:val="18"/>
          <w:lang w:val="en-US"/>
        </w:rPr>
        <w:t>p</w:t>
      </w:r>
      <w:r w:rsidR="00AE699D" w:rsidRPr="00386B05">
        <w:rPr>
          <w:rFonts w:ascii="Times New Roman" w:hAnsi="Times New Roman" w:cs="Times New Roman"/>
          <w:sz w:val="18"/>
          <w:szCs w:val="18"/>
          <w:lang w:val="uk-UA"/>
        </w:rPr>
        <w:t>. 201-258</w:t>
      </w:r>
      <w:r w:rsidRPr="00386B05">
        <w:rPr>
          <w:rFonts w:ascii="Times New Roman" w:hAnsi="Times New Roman" w:cs="Times New Roman"/>
          <w:sz w:val="18"/>
          <w:szCs w:val="18"/>
          <w:lang w:val="en-US"/>
        </w:rPr>
        <w:t xml:space="preserve">, </w:t>
      </w:r>
      <w:r w:rsidRPr="00386B05">
        <w:rPr>
          <w:rFonts w:ascii="Times New Roman" w:hAnsi="Times New Roman" w:cs="Times New Roman"/>
          <w:sz w:val="18"/>
          <w:szCs w:val="18"/>
          <w:lang w:val="uk-UA"/>
        </w:rPr>
        <w:t>2017.</w:t>
      </w:r>
    </w:p>
    <w:p w:rsidR="00386B05" w:rsidRPr="00386B05" w:rsidRDefault="004F74FE" w:rsidP="001C2731">
      <w:pPr>
        <w:pStyle w:val="a3"/>
        <w:widowControl w:val="0"/>
        <w:numPr>
          <w:ilvl w:val="0"/>
          <w:numId w:val="1"/>
        </w:numPr>
        <w:ind w:left="0" w:firstLine="426"/>
        <w:jc w:val="both"/>
        <w:rPr>
          <w:rFonts w:ascii="Times New Roman" w:hAnsi="Times New Roman" w:cs="Times New Roman"/>
          <w:sz w:val="18"/>
          <w:szCs w:val="18"/>
          <w:lang w:val="uk-UA"/>
        </w:rPr>
      </w:pPr>
      <w:r w:rsidRPr="00386B05">
        <w:rPr>
          <w:rFonts w:ascii="Times New Roman" w:hAnsi="Times New Roman" w:cs="Times New Roman"/>
          <w:sz w:val="18"/>
          <w:szCs w:val="18"/>
          <w:lang w:val="uk-UA"/>
        </w:rPr>
        <w:t>Чиновники почали декларувати крипто</w:t>
      </w:r>
      <w:r w:rsidR="00671F37" w:rsidRPr="00386B05">
        <w:rPr>
          <w:rFonts w:ascii="Times New Roman" w:hAnsi="Times New Roman" w:cs="Times New Roman"/>
          <w:sz w:val="18"/>
          <w:szCs w:val="18"/>
          <w:lang w:val="uk-UA"/>
        </w:rPr>
        <w:softHyphen/>
      </w:r>
      <w:r w:rsidRPr="00386B05">
        <w:rPr>
          <w:rFonts w:ascii="Times New Roman" w:hAnsi="Times New Roman" w:cs="Times New Roman"/>
          <w:sz w:val="18"/>
          <w:szCs w:val="18"/>
          <w:lang w:val="uk-UA"/>
        </w:rPr>
        <w:t xml:space="preserve">валюту [Електронний ресурс]. </w:t>
      </w:r>
      <w:r w:rsidR="00386B05" w:rsidRPr="00386B05">
        <w:rPr>
          <w:rFonts w:ascii="Times New Roman" w:hAnsi="Times New Roman" w:cs="Times New Roman"/>
          <w:sz w:val="18"/>
          <w:szCs w:val="18"/>
        </w:rPr>
        <w:t>Д</w:t>
      </w:r>
      <w:proofErr w:type="spellStart"/>
      <w:r w:rsidR="00386B05" w:rsidRPr="00386B05">
        <w:rPr>
          <w:rFonts w:ascii="Times New Roman" w:hAnsi="Times New Roman" w:cs="Times New Roman"/>
          <w:sz w:val="18"/>
          <w:szCs w:val="18"/>
          <w:lang w:val="uk-UA"/>
        </w:rPr>
        <w:t>оступно</w:t>
      </w:r>
      <w:proofErr w:type="spellEnd"/>
      <w:r w:rsidR="00386B05" w:rsidRPr="00386B05">
        <w:rPr>
          <w:rFonts w:ascii="Times New Roman" w:hAnsi="Times New Roman" w:cs="Times New Roman"/>
          <w:sz w:val="18"/>
          <w:szCs w:val="18"/>
          <w:lang w:val="uk-UA"/>
        </w:rPr>
        <w:t>:</w:t>
      </w:r>
      <w:r w:rsidRPr="00386B05">
        <w:rPr>
          <w:rFonts w:ascii="Times New Roman" w:hAnsi="Times New Roman" w:cs="Times New Roman"/>
          <w:sz w:val="18"/>
          <w:szCs w:val="18"/>
          <w:lang w:val="uk-UA"/>
        </w:rPr>
        <w:t xml:space="preserve"> </w:t>
      </w:r>
      <w:hyperlink r:id="rId8" w:history="1">
        <w:r w:rsidRPr="00386B05">
          <w:rPr>
            <w:rFonts w:ascii="Times New Roman" w:hAnsi="Times New Roman" w:cs="Times New Roman"/>
            <w:sz w:val="18"/>
            <w:szCs w:val="18"/>
            <w:lang w:val="uk-UA"/>
          </w:rPr>
          <w:t>https://opendatabot.com/blog/135-bitcoin-rada</w:t>
        </w:r>
      </w:hyperlink>
      <w:r w:rsidRPr="00386B05">
        <w:rPr>
          <w:rFonts w:ascii="Times New Roman" w:hAnsi="Times New Roman" w:cs="Times New Roman"/>
          <w:sz w:val="18"/>
          <w:szCs w:val="18"/>
          <w:lang w:val="uk-UA"/>
        </w:rPr>
        <w:t>.</w:t>
      </w:r>
      <w:r w:rsidR="00386B05" w:rsidRPr="00386B05">
        <w:rPr>
          <w:rFonts w:ascii="Times New Roman" w:hAnsi="Times New Roman" w:cs="Times New Roman"/>
          <w:sz w:val="18"/>
          <w:szCs w:val="18"/>
          <w:lang w:val="uk-UA"/>
        </w:rPr>
        <w:t xml:space="preserve"> </w:t>
      </w:r>
      <w:r w:rsidR="00386B05" w:rsidRPr="00386B05">
        <w:rPr>
          <w:rStyle w:val="a4"/>
          <w:rFonts w:ascii="Times New Roman" w:hAnsi="Times New Roman" w:cs="Times New Roman"/>
          <w:color w:val="auto"/>
          <w:sz w:val="18"/>
          <w:szCs w:val="18"/>
          <w:u w:val="none"/>
        </w:rPr>
        <w:t>Д</w:t>
      </w:r>
      <w:proofErr w:type="spellStart"/>
      <w:r w:rsidR="00386B05" w:rsidRPr="00386B05">
        <w:rPr>
          <w:rStyle w:val="a4"/>
          <w:rFonts w:ascii="Times New Roman" w:hAnsi="Times New Roman" w:cs="Times New Roman"/>
          <w:color w:val="auto"/>
          <w:sz w:val="18"/>
          <w:szCs w:val="18"/>
          <w:u w:val="none"/>
          <w:lang w:val="uk-UA"/>
        </w:rPr>
        <w:t>ата</w:t>
      </w:r>
      <w:proofErr w:type="spellEnd"/>
      <w:r w:rsidR="00386B05" w:rsidRPr="00386B05">
        <w:rPr>
          <w:rStyle w:val="a4"/>
          <w:rFonts w:ascii="Times New Roman" w:hAnsi="Times New Roman" w:cs="Times New Roman"/>
          <w:color w:val="auto"/>
          <w:sz w:val="18"/>
          <w:szCs w:val="18"/>
          <w:u w:val="none"/>
          <w:lang w:val="uk-UA"/>
        </w:rPr>
        <w:t xml:space="preserve"> звернення: Березень 23, 2018.</w:t>
      </w:r>
    </w:p>
    <w:p w:rsidR="00386B05" w:rsidRPr="0001545C" w:rsidRDefault="00436061" w:rsidP="00386B05">
      <w:pPr>
        <w:pStyle w:val="a3"/>
        <w:widowControl w:val="0"/>
        <w:numPr>
          <w:ilvl w:val="0"/>
          <w:numId w:val="1"/>
        </w:numPr>
        <w:ind w:left="0" w:firstLine="426"/>
        <w:jc w:val="both"/>
        <w:rPr>
          <w:rFonts w:ascii="Times New Roman" w:hAnsi="Times New Roman" w:cs="Times New Roman"/>
          <w:sz w:val="18"/>
          <w:szCs w:val="18"/>
          <w:lang w:val="uk-UA"/>
        </w:rPr>
      </w:pPr>
      <w:r w:rsidRPr="0001545C">
        <w:rPr>
          <w:rFonts w:ascii="Times New Roman" w:hAnsi="Times New Roman" w:cs="Times New Roman"/>
          <w:sz w:val="18"/>
          <w:szCs w:val="18"/>
          <w:lang w:val="uk-UA"/>
        </w:rPr>
        <w:t xml:space="preserve">Депутати, які повірили в Bitcoin [Електронний ресурс]. </w:t>
      </w:r>
      <w:r w:rsidR="00386B05">
        <w:rPr>
          <w:rFonts w:ascii="Times New Roman" w:hAnsi="Times New Roman" w:cs="Times New Roman"/>
          <w:sz w:val="18"/>
          <w:szCs w:val="18"/>
          <w:lang w:val="uk-UA"/>
        </w:rPr>
        <w:t>Доступно</w:t>
      </w:r>
      <w:bookmarkStart w:id="0" w:name="_GoBack"/>
      <w:bookmarkEnd w:id="0"/>
      <w:r w:rsidRPr="0001545C">
        <w:rPr>
          <w:rFonts w:ascii="Times New Roman" w:hAnsi="Times New Roman" w:cs="Times New Roman"/>
          <w:sz w:val="18"/>
          <w:szCs w:val="18"/>
          <w:lang w:val="uk-UA"/>
        </w:rPr>
        <w:t xml:space="preserve">: </w:t>
      </w:r>
      <w:hyperlink r:id="rId9" w:history="1">
        <w:r w:rsidRPr="0001545C">
          <w:rPr>
            <w:rFonts w:ascii="Times New Roman" w:hAnsi="Times New Roman" w:cs="Times New Roman"/>
            <w:sz w:val="18"/>
            <w:szCs w:val="18"/>
            <w:lang w:val="uk-UA"/>
          </w:rPr>
          <w:t>https://taxlink.ua/ua/news/deputati-jaki-povirili-v-bitcoin.htm</w:t>
        </w:r>
      </w:hyperlink>
      <w:r w:rsidR="00671F37" w:rsidRPr="0001545C">
        <w:rPr>
          <w:rFonts w:ascii="Times New Roman" w:hAnsi="Times New Roman" w:cs="Times New Roman"/>
          <w:sz w:val="18"/>
          <w:szCs w:val="18"/>
        </w:rPr>
        <w:t>.</w:t>
      </w:r>
      <w:r w:rsidR="00386B05">
        <w:rPr>
          <w:rFonts w:ascii="Times New Roman" w:hAnsi="Times New Roman" w:cs="Times New Roman"/>
          <w:sz w:val="18"/>
          <w:szCs w:val="18"/>
          <w:lang w:val="uk-UA"/>
        </w:rPr>
        <w:t xml:space="preserve"> </w:t>
      </w:r>
      <w:r w:rsidR="00386B05" w:rsidRPr="00386B05">
        <w:rPr>
          <w:rStyle w:val="a4"/>
          <w:rFonts w:ascii="Times New Roman" w:hAnsi="Times New Roman" w:cs="Times New Roman"/>
          <w:color w:val="auto"/>
          <w:sz w:val="18"/>
          <w:szCs w:val="18"/>
          <w:u w:val="none"/>
        </w:rPr>
        <w:t>Д</w:t>
      </w:r>
      <w:proofErr w:type="spellStart"/>
      <w:r w:rsidR="00386B05">
        <w:rPr>
          <w:rStyle w:val="a4"/>
          <w:rFonts w:ascii="Times New Roman" w:hAnsi="Times New Roman" w:cs="Times New Roman"/>
          <w:color w:val="auto"/>
          <w:sz w:val="18"/>
          <w:szCs w:val="18"/>
          <w:u w:val="none"/>
          <w:lang w:val="uk-UA"/>
        </w:rPr>
        <w:t>ата</w:t>
      </w:r>
      <w:proofErr w:type="spellEnd"/>
      <w:r w:rsidR="00386B05">
        <w:rPr>
          <w:rStyle w:val="a4"/>
          <w:rFonts w:ascii="Times New Roman" w:hAnsi="Times New Roman" w:cs="Times New Roman"/>
          <w:color w:val="auto"/>
          <w:sz w:val="18"/>
          <w:szCs w:val="18"/>
          <w:u w:val="none"/>
          <w:lang w:val="uk-UA"/>
        </w:rPr>
        <w:t xml:space="preserve"> звернення: Березень 23, 2018.</w:t>
      </w:r>
    </w:p>
    <w:p w:rsidR="00AE699D" w:rsidRPr="0001545C" w:rsidRDefault="00AE699D" w:rsidP="00386B05">
      <w:pPr>
        <w:pStyle w:val="a3"/>
        <w:widowControl w:val="0"/>
        <w:ind w:left="426"/>
        <w:jc w:val="both"/>
        <w:rPr>
          <w:rFonts w:ascii="Times New Roman" w:hAnsi="Times New Roman" w:cs="Times New Roman"/>
          <w:sz w:val="18"/>
          <w:szCs w:val="18"/>
          <w:lang w:val="uk-UA"/>
        </w:rPr>
      </w:pPr>
    </w:p>
    <w:sectPr w:rsidR="00AE699D" w:rsidRPr="0001545C" w:rsidSect="008116FA">
      <w:type w:val="continuous"/>
      <w:pgSz w:w="11906" w:h="16838"/>
      <w:pgMar w:top="1134" w:right="1134" w:bottom="1418" w:left="1418"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6FC8"/>
    <w:multiLevelType w:val="hybridMultilevel"/>
    <w:tmpl w:val="F4922A04"/>
    <w:lvl w:ilvl="0" w:tplc="D318B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1B5B67"/>
    <w:multiLevelType w:val="hybridMultilevel"/>
    <w:tmpl w:val="EB081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11"/>
    <w:rsid w:val="0001545C"/>
    <w:rsid w:val="00022AD2"/>
    <w:rsid w:val="00051D03"/>
    <w:rsid w:val="00083AAC"/>
    <w:rsid w:val="000C7BB8"/>
    <w:rsid w:val="00135300"/>
    <w:rsid w:val="001A4112"/>
    <w:rsid w:val="001D68F6"/>
    <w:rsid w:val="002050DB"/>
    <w:rsid w:val="002630F6"/>
    <w:rsid w:val="00274306"/>
    <w:rsid w:val="00315AF8"/>
    <w:rsid w:val="00386B05"/>
    <w:rsid w:val="00395567"/>
    <w:rsid w:val="003C33C1"/>
    <w:rsid w:val="00436061"/>
    <w:rsid w:val="00472361"/>
    <w:rsid w:val="00481DD1"/>
    <w:rsid w:val="004C5EF4"/>
    <w:rsid w:val="004F74FE"/>
    <w:rsid w:val="005358E7"/>
    <w:rsid w:val="00543931"/>
    <w:rsid w:val="005753B8"/>
    <w:rsid w:val="005C2C8F"/>
    <w:rsid w:val="0060558A"/>
    <w:rsid w:val="00616411"/>
    <w:rsid w:val="00664623"/>
    <w:rsid w:val="00671F37"/>
    <w:rsid w:val="006807A6"/>
    <w:rsid w:val="006E24AA"/>
    <w:rsid w:val="00705E9F"/>
    <w:rsid w:val="007133A9"/>
    <w:rsid w:val="00716C29"/>
    <w:rsid w:val="0072436B"/>
    <w:rsid w:val="007A45BD"/>
    <w:rsid w:val="007C098A"/>
    <w:rsid w:val="008116FA"/>
    <w:rsid w:val="008639C7"/>
    <w:rsid w:val="00873D9F"/>
    <w:rsid w:val="008A11AD"/>
    <w:rsid w:val="008C1F3C"/>
    <w:rsid w:val="008D7ADD"/>
    <w:rsid w:val="00915B49"/>
    <w:rsid w:val="00A54DC2"/>
    <w:rsid w:val="00A91B88"/>
    <w:rsid w:val="00AB251B"/>
    <w:rsid w:val="00AE699D"/>
    <w:rsid w:val="00B05B77"/>
    <w:rsid w:val="00B664A1"/>
    <w:rsid w:val="00BE319D"/>
    <w:rsid w:val="00C0089B"/>
    <w:rsid w:val="00C33E9B"/>
    <w:rsid w:val="00DA4677"/>
    <w:rsid w:val="00DE0892"/>
    <w:rsid w:val="00E86819"/>
    <w:rsid w:val="00EB6669"/>
    <w:rsid w:val="00EE3CCB"/>
    <w:rsid w:val="00F24B6A"/>
    <w:rsid w:val="00F64995"/>
    <w:rsid w:val="00FE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40E21-6E14-46CD-A7C1-F03E8EC9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623"/>
    <w:pPr>
      <w:ind w:left="720"/>
      <w:contextualSpacing/>
    </w:pPr>
  </w:style>
  <w:style w:type="character" w:styleId="a4">
    <w:name w:val="Hyperlink"/>
    <w:basedOn w:val="a0"/>
    <w:uiPriority w:val="99"/>
    <w:unhideWhenUsed/>
    <w:rsid w:val="008C1F3C"/>
    <w:rPr>
      <w:color w:val="0563C1" w:themeColor="hyperlink"/>
      <w:u w:val="single"/>
    </w:rPr>
  </w:style>
  <w:style w:type="character" w:styleId="a5">
    <w:name w:val="FollowedHyperlink"/>
    <w:basedOn w:val="a0"/>
    <w:uiPriority w:val="99"/>
    <w:semiHidden/>
    <w:unhideWhenUsed/>
    <w:rsid w:val="00395567"/>
    <w:rPr>
      <w:color w:val="954F72" w:themeColor="followedHyperlink"/>
      <w:u w:val="single"/>
    </w:rPr>
  </w:style>
  <w:style w:type="table" w:styleId="a6">
    <w:name w:val="Table Grid"/>
    <w:basedOn w:val="a1"/>
    <w:uiPriority w:val="39"/>
    <w:rsid w:val="008A1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32826">
      <w:bodyDiv w:val="1"/>
      <w:marLeft w:val="0"/>
      <w:marRight w:val="0"/>
      <w:marTop w:val="0"/>
      <w:marBottom w:val="0"/>
      <w:divBdr>
        <w:top w:val="none" w:sz="0" w:space="0" w:color="auto"/>
        <w:left w:val="none" w:sz="0" w:space="0" w:color="auto"/>
        <w:bottom w:val="none" w:sz="0" w:space="0" w:color="auto"/>
        <w:right w:val="none" w:sz="0" w:space="0" w:color="auto"/>
      </w:divBdr>
    </w:div>
    <w:div w:id="11130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bot.com/blog/135-bitcoin-rada" TargetMode="External"/><Relationship Id="rId3" Type="http://schemas.openxmlformats.org/officeDocument/2006/relationships/settings" Target="settings.xml"/><Relationship Id="rId7" Type="http://schemas.openxmlformats.org/officeDocument/2006/relationships/hyperlink" Target="https://mind.ua/news/20182423-nebezpechna-tendenciya-tinovij-bankivskij-sektor-u-sviti-zrostae?utm_medium=social&amp;utm_source=facebook.com&amp;utm_campaign=nebezpechna-tendenciya-tinovij-bankivskij-sektor-u-sviti-zrost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arency.org/news/feature/corruption_perceptions_index_2016" TargetMode="External"/><Relationship Id="rId11" Type="http://schemas.openxmlformats.org/officeDocument/2006/relationships/theme" Target="theme/theme1.xml"/><Relationship Id="rId5" Type="http://schemas.openxmlformats.org/officeDocument/2006/relationships/hyperlink" Target="mailto:oleksandr.veyts@hneu.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xlink.ua/ua/news/deputati-jaki-povirili-v-bitco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2</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Алеся</cp:lastModifiedBy>
  <cp:revision>41</cp:revision>
  <dcterms:created xsi:type="dcterms:W3CDTF">2018-03-14T15:28:00Z</dcterms:created>
  <dcterms:modified xsi:type="dcterms:W3CDTF">2018-04-08T12:52:00Z</dcterms:modified>
</cp:coreProperties>
</file>