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41" w:rsidRDefault="00DE7541" w:rsidP="00DE7541">
      <w:pPr>
        <w:widowControl w:val="0"/>
        <w:spacing w:line="360" w:lineRule="auto"/>
        <w:jc w:val="center"/>
        <w:rPr>
          <w:rFonts w:ascii="Times New Roman" w:hAnsi="Times New Roman" w:cs="Times New Roman"/>
          <w:i/>
          <w:lang w:val="uk-UA"/>
        </w:rPr>
      </w:pPr>
      <w:r w:rsidRPr="00DE7541">
        <w:rPr>
          <w:rFonts w:ascii="Times New Roman" w:hAnsi="Times New Roman" w:cs="Times New Roman"/>
          <w:i/>
          <w:lang w:val="uk-UA"/>
        </w:rPr>
        <w:t>Гроші, фінанси і кредит</w:t>
      </w:r>
    </w:p>
    <w:p w:rsidR="00DE7541" w:rsidRPr="00DE7541" w:rsidRDefault="00DE7541" w:rsidP="00DE7541">
      <w:pPr>
        <w:widowControl w:val="0"/>
        <w:spacing w:line="360" w:lineRule="auto"/>
        <w:jc w:val="center"/>
        <w:rPr>
          <w:rFonts w:ascii="Times New Roman" w:hAnsi="Times New Roman" w:cs="Times New Roman"/>
          <w:i/>
          <w:lang w:val="uk-UA"/>
        </w:rPr>
      </w:pPr>
    </w:p>
    <w:p w:rsidR="00DE7541" w:rsidRPr="00DE7541" w:rsidRDefault="00F561FF" w:rsidP="00DE7541">
      <w:pPr>
        <w:widowControl w:val="0"/>
        <w:spacing w:line="360" w:lineRule="auto"/>
        <w:jc w:val="center"/>
        <w:rPr>
          <w:rFonts w:ascii="Times New Roman" w:hAnsi="Times New Roman" w:cs="Times New Roman"/>
          <w:b/>
          <w:lang w:val="uk-UA"/>
        </w:rPr>
      </w:pPr>
      <w:r w:rsidRPr="00DE7541">
        <w:rPr>
          <w:rFonts w:ascii="Times New Roman" w:hAnsi="Times New Roman" w:cs="Times New Roman"/>
          <w:b/>
          <w:lang w:val="uk-UA"/>
        </w:rPr>
        <w:t>Вейц О</w:t>
      </w:r>
      <w:r w:rsidR="00DE7541" w:rsidRPr="00DE7541">
        <w:rPr>
          <w:rFonts w:ascii="Times New Roman" w:hAnsi="Times New Roman" w:cs="Times New Roman"/>
          <w:b/>
          <w:lang w:val="uk-UA"/>
        </w:rPr>
        <w:t>.</w:t>
      </w:r>
      <w:r w:rsidRPr="00DE7541">
        <w:rPr>
          <w:rFonts w:ascii="Times New Roman" w:hAnsi="Times New Roman" w:cs="Times New Roman"/>
          <w:b/>
          <w:lang w:val="uk-UA"/>
        </w:rPr>
        <w:t xml:space="preserve"> І</w:t>
      </w:r>
      <w:r w:rsidR="00DE7541" w:rsidRPr="00DE7541">
        <w:rPr>
          <w:rFonts w:ascii="Times New Roman" w:hAnsi="Times New Roman" w:cs="Times New Roman"/>
          <w:b/>
          <w:lang w:val="uk-UA"/>
        </w:rPr>
        <w:t>.</w:t>
      </w:r>
    </w:p>
    <w:p w:rsidR="00315AF8" w:rsidRPr="00DE7541" w:rsidRDefault="00007948" w:rsidP="00DE7541">
      <w:pPr>
        <w:widowControl w:val="0"/>
        <w:spacing w:line="360" w:lineRule="auto"/>
        <w:jc w:val="center"/>
        <w:rPr>
          <w:rFonts w:ascii="Times New Roman" w:hAnsi="Times New Roman" w:cs="Times New Roman"/>
          <w:i/>
          <w:lang w:val="uk-UA"/>
        </w:rPr>
      </w:pPr>
      <w:r>
        <w:rPr>
          <w:rFonts w:ascii="Times New Roman" w:hAnsi="Times New Roman" w:cs="Times New Roman"/>
          <w:i/>
          <w:lang w:val="uk-UA"/>
        </w:rPr>
        <w:t>аспірант</w:t>
      </w:r>
      <w:r w:rsidR="00F561FF" w:rsidRPr="00DE7541">
        <w:rPr>
          <w:rFonts w:ascii="Times New Roman" w:hAnsi="Times New Roman" w:cs="Times New Roman"/>
          <w:i/>
          <w:lang w:val="uk-UA"/>
        </w:rPr>
        <w:t xml:space="preserve"> кафедри банківської справи</w:t>
      </w:r>
    </w:p>
    <w:p w:rsidR="00F561FF" w:rsidRPr="00DE7541" w:rsidRDefault="00F561FF" w:rsidP="00DE7541">
      <w:pPr>
        <w:widowControl w:val="0"/>
        <w:spacing w:line="360" w:lineRule="auto"/>
        <w:jc w:val="center"/>
        <w:rPr>
          <w:rFonts w:ascii="Times New Roman" w:hAnsi="Times New Roman" w:cs="Times New Roman"/>
          <w:i/>
          <w:lang w:val="uk-UA"/>
        </w:rPr>
      </w:pPr>
      <w:r w:rsidRPr="00DE7541">
        <w:rPr>
          <w:rFonts w:ascii="Times New Roman" w:hAnsi="Times New Roman" w:cs="Times New Roman"/>
          <w:i/>
          <w:lang w:val="uk-UA"/>
        </w:rPr>
        <w:t>Харківськ</w:t>
      </w:r>
      <w:r w:rsidR="00DE7541" w:rsidRPr="00DE7541">
        <w:rPr>
          <w:rFonts w:ascii="Times New Roman" w:hAnsi="Times New Roman" w:cs="Times New Roman"/>
          <w:i/>
          <w:lang w:val="uk-UA"/>
        </w:rPr>
        <w:t>ий</w:t>
      </w:r>
      <w:r w:rsidRPr="00DE7541">
        <w:rPr>
          <w:rFonts w:ascii="Times New Roman" w:hAnsi="Times New Roman" w:cs="Times New Roman"/>
          <w:i/>
          <w:lang w:val="uk-UA"/>
        </w:rPr>
        <w:t xml:space="preserve"> національн</w:t>
      </w:r>
      <w:r w:rsidR="00DE7541" w:rsidRPr="00DE7541">
        <w:rPr>
          <w:rFonts w:ascii="Times New Roman" w:hAnsi="Times New Roman" w:cs="Times New Roman"/>
          <w:i/>
          <w:lang w:val="uk-UA"/>
        </w:rPr>
        <w:t>ий</w:t>
      </w:r>
      <w:r w:rsidRPr="00DE7541">
        <w:rPr>
          <w:rFonts w:ascii="Times New Roman" w:hAnsi="Times New Roman" w:cs="Times New Roman"/>
          <w:i/>
          <w:lang w:val="uk-UA"/>
        </w:rPr>
        <w:t xml:space="preserve"> економічн</w:t>
      </w:r>
      <w:bookmarkStart w:id="0" w:name="_GoBack"/>
      <w:bookmarkEnd w:id="0"/>
      <w:r w:rsidR="00DE7541" w:rsidRPr="00DE7541">
        <w:rPr>
          <w:rFonts w:ascii="Times New Roman" w:hAnsi="Times New Roman" w:cs="Times New Roman"/>
          <w:i/>
          <w:lang w:val="uk-UA"/>
        </w:rPr>
        <w:t>ий університет</w:t>
      </w:r>
      <w:r w:rsidRPr="00DE7541">
        <w:rPr>
          <w:rFonts w:ascii="Times New Roman" w:hAnsi="Times New Roman" w:cs="Times New Roman"/>
          <w:i/>
          <w:lang w:val="uk-UA"/>
        </w:rPr>
        <w:t xml:space="preserve"> імені Семена Кузнеця</w:t>
      </w:r>
    </w:p>
    <w:p w:rsidR="00DE7541" w:rsidRDefault="00DE7541" w:rsidP="00570F96">
      <w:pPr>
        <w:widowControl w:val="0"/>
        <w:spacing w:line="360" w:lineRule="auto"/>
        <w:jc w:val="center"/>
        <w:rPr>
          <w:rFonts w:ascii="Times New Roman" w:hAnsi="Times New Roman" w:cs="Times New Roman"/>
          <w:lang w:val="uk-UA"/>
        </w:rPr>
      </w:pPr>
    </w:p>
    <w:p w:rsidR="00A40465" w:rsidRPr="00DE7541" w:rsidRDefault="00E638A9" w:rsidP="00570F96">
      <w:pPr>
        <w:widowControl w:val="0"/>
        <w:spacing w:line="360" w:lineRule="auto"/>
        <w:jc w:val="center"/>
        <w:rPr>
          <w:rFonts w:ascii="Times New Roman" w:hAnsi="Times New Roman" w:cs="Times New Roman"/>
          <w:b/>
          <w:caps/>
          <w:lang w:val="uk-UA"/>
        </w:rPr>
      </w:pPr>
      <w:r w:rsidRPr="00DE7541">
        <w:rPr>
          <w:rFonts w:ascii="Times New Roman" w:hAnsi="Times New Roman" w:cs="Times New Roman"/>
          <w:b/>
          <w:caps/>
          <w:lang w:val="uk-UA"/>
        </w:rPr>
        <w:t xml:space="preserve">Проблеми </w:t>
      </w:r>
      <w:r w:rsidR="00FA439B" w:rsidRPr="00DE7541">
        <w:rPr>
          <w:rFonts w:ascii="Times New Roman" w:eastAsia="Times New Roman" w:hAnsi="Times New Roman" w:cs="Times New Roman"/>
          <w:b/>
          <w:caps/>
          <w:color w:val="000000"/>
          <w:lang w:val="uk-UA" w:eastAsia="ru-RU"/>
        </w:rPr>
        <w:t>впровадження ризик-орієнтованого підходу</w:t>
      </w:r>
      <w:r w:rsidR="00FA439B" w:rsidRPr="00DE7541">
        <w:rPr>
          <w:rFonts w:ascii="Times New Roman" w:hAnsi="Times New Roman" w:cs="Times New Roman"/>
          <w:b/>
          <w:caps/>
          <w:lang w:val="uk-UA"/>
        </w:rPr>
        <w:t xml:space="preserve"> </w:t>
      </w:r>
      <w:r w:rsidR="006B2BCF" w:rsidRPr="00DE7541">
        <w:rPr>
          <w:rFonts w:ascii="Times New Roman" w:hAnsi="Times New Roman" w:cs="Times New Roman"/>
          <w:b/>
          <w:caps/>
          <w:lang w:val="uk-UA"/>
        </w:rPr>
        <w:t xml:space="preserve">до запобігання та протидії відмиванню коштів </w:t>
      </w:r>
    </w:p>
    <w:p w:rsidR="00DE7541" w:rsidRPr="003D3718" w:rsidRDefault="00DE7541" w:rsidP="00570F96">
      <w:pPr>
        <w:widowControl w:val="0"/>
        <w:spacing w:line="360" w:lineRule="auto"/>
        <w:jc w:val="center"/>
        <w:rPr>
          <w:rFonts w:ascii="Times New Roman" w:hAnsi="Times New Roman" w:cs="Times New Roman"/>
          <w:lang w:val="uk-UA"/>
        </w:rPr>
      </w:pPr>
    </w:p>
    <w:p w:rsidR="003D3718" w:rsidRPr="003D3718" w:rsidRDefault="003D3718" w:rsidP="00570F96">
      <w:pPr>
        <w:widowControl w:val="0"/>
        <w:spacing w:line="360" w:lineRule="auto"/>
        <w:ind w:firstLine="709"/>
        <w:jc w:val="both"/>
        <w:rPr>
          <w:rFonts w:ascii="Times New Roman" w:eastAsia="Times New Roman" w:hAnsi="Times New Roman" w:cs="Times New Roman"/>
          <w:color w:val="000000"/>
          <w:lang w:val="uk-UA" w:eastAsia="ru-RU"/>
        </w:rPr>
      </w:pPr>
      <w:r w:rsidRPr="003D3718">
        <w:rPr>
          <w:rFonts w:ascii="Times New Roman" w:hAnsi="Times New Roman" w:cs="Times New Roman"/>
          <w:lang w:val="uk-UA"/>
        </w:rPr>
        <w:t>Відмивання коштів становить значну загрозу розвитку економіки будь-якої країни. Усвідомлюючи це, Кабінет міністрів України 30.12.2015 р. ухвалив «Стратегію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 період до 2020 року»</w:t>
      </w:r>
      <w:r w:rsidR="00DE7541">
        <w:rPr>
          <w:rFonts w:ascii="Times New Roman" w:hAnsi="Times New Roman" w:cs="Times New Roman"/>
          <w:lang w:val="uk-UA"/>
        </w:rPr>
        <w:t xml:space="preserve"> </w:t>
      </w:r>
      <w:r w:rsidR="00DE7541" w:rsidRPr="00DE7541">
        <w:rPr>
          <w:rFonts w:ascii="Times New Roman" w:hAnsi="Times New Roman" w:cs="Times New Roman"/>
          <w:lang w:val="uk-UA"/>
        </w:rPr>
        <w:t>[1]</w:t>
      </w:r>
      <w:r w:rsidRPr="003D3718">
        <w:rPr>
          <w:rFonts w:ascii="Times New Roman" w:hAnsi="Times New Roman" w:cs="Times New Roman"/>
          <w:lang w:val="uk-UA"/>
        </w:rPr>
        <w:t>, а півтора роки потому –  30 серпня 2017 року – розпорядженням КМУ затверджено План заходів з реалізації зазначеної стратегії</w:t>
      </w:r>
      <w:r w:rsidR="00DE7541" w:rsidRPr="00DE7541">
        <w:rPr>
          <w:rFonts w:ascii="Times New Roman" w:hAnsi="Times New Roman" w:cs="Times New Roman"/>
          <w:lang w:val="uk-UA"/>
        </w:rPr>
        <w:t xml:space="preserve"> [</w:t>
      </w:r>
      <w:r w:rsidR="00DE7541">
        <w:rPr>
          <w:rFonts w:ascii="Times New Roman" w:hAnsi="Times New Roman" w:cs="Times New Roman"/>
          <w:lang w:val="uk-UA"/>
        </w:rPr>
        <w:t>2</w:t>
      </w:r>
      <w:r w:rsidR="00DE7541" w:rsidRPr="00DE7541">
        <w:rPr>
          <w:rFonts w:ascii="Times New Roman" w:hAnsi="Times New Roman" w:cs="Times New Roman"/>
          <w:lang w:val="uk-UA"/>
        </w:rPr>
        <w:t>]</w:t>
      </w:r>
      <w:r w:rsidRPr="003D3718">
        <w:rPr>
          <w:rFonts w:ascii="Times New Roman" w:hAnsi="Times New Roman" w:cs="Times New Roman"/>
          <w:lang w:val="uk-UA"/>
        </w:rPr>
        <w:t xml:space="preserve">. Серед запланованих у цих документах заходів важливе місце посідають й такі, що </w:t>
      </w:r>
      <w:r w:rsidRPr="003D3718">
        <w:rPr>
          <w:rFonts w:ascii="Times New Roman" w:eastAsia="Times New Roman" w:hAnsi="Times New Roman" w:cs="Times New Roman"/>
          <w:color w:val="000000"/>
          <w:lang w:val="uk-UA" w:eastAsia="ru-RU"/>
        </w:rPr>
        <w:t>безпосередньо стосуються діяльності суб’єктів первинного фінансового моніторингу</w:t>
      </w:r>
      <w:r w:rsidRPr="003D3718">
        <w:rPr>
          <w:rFonts w:ascii="Times New Roman" w:hAnsi="Times New Roman" w:cs="Times New Roman"/>
          <w:lang w:val="uk-UA"/>
        </w:rPr>
        <w:t xml:space="preserve">: удосконалення засобів моніторингу фінансових потоків; </w:t>
      </w:r>
      <w:r w:rsidRPr="003D3718">
        <w:rPr>
          <w:rFonts w:ascii="Times New Roman" w:eastAsia="Times New Roman" w:hAnsi="Times New Roman" w:cs="Times New Roman"/>
          <w:color w:val="000000"/>
          <w:lang w:val="uk-UA" w:eastAsia="ru-RU"/>
        </w:rPr>
        <w:t xml:space="preserve">удосконалення засобів моніторингу проведення операцій з готівкою, зокрема щодо її зняття з рахунків у фінансових установах, переміщення через державний кордон; збільшення частки безготівкових розрахунків та звуження сфери використання готівки; удосконалення форм та методів ризик-орієнтованого підходу у сфері фінансового моніторингу. </w:t>
      </w:r>
    </w:p>
    <w:p w:rsidR="003D3718" w:rsidRPr="003D3718" w:rsidRDefault="003D3718" w:rsidP="00570F96">
      <w:pPr>
        <w:widowControl w:val="0"/>
        <w:spacing w:line="360" w:lineRule="auto"/>
        <w:ind w:firstLine="709"/>
        <w:jc w:val="both"/>
        <w:rPr>
          <w:rFonts w:ascii="Times New Roman" w:eastAsia="Times New Roman" w:hAnsi="Times New Roman" w:cs="Times New Roman"/>
          <w:color w:val="000000"/>
          <w:lang w:val="uk-UA" w:eastAsia="ru-RU"/>
        </w:rPr>
      </w:pPr>
      <w:r w:rsidRPr="003D3718">
        <w:rPr>
          <w:rFonts w:ascii="Times New Roman" w:eastAsia="Times New Roman" w:hAnsi="Times New Roman" w:cs="Times New Roman"/>
          <w:color w:val="000000"/>
          <w:lang w:val="uk-UA" w:eastAsia="ru-RU"/>
        </w:rPr>
        <w:t xml:space="preserve">Серед суб’єктів первинного фінансового моніторингу банки посідають особливе місце, оскільки упродовж 2011-2016 років питома вага повідомлень про фінансові операції, що підлягають фінансовому моніторингу, відправлених банками, становила 96-99 % від загальної кількості повідомлень, у той час як банки за кількістю утворюють лише 0,9 % від загальної кількості суб’єктів первинного фінансового моніторингу. Отже, на поточний момент національна </w:t>
      </w:r>
      <w:r w:rsidRPr="003D3718">
        <w:rPr>
          <w:rFonts w:ascii="Times New Roman" w:eastAsia="Times New Roman" w:hAnsi="Times New Roman" w:cs="Times New Roman"/>
          <w:color w:val="000000"/>
          <w:lang w:val="uk-UA" w:eastAsia="ru-RU"/>
        </w:rPr>
        <w:lastRenderedPageBreak/>
        <w:t xml:space="preserve">система протидії відмиванню коштів працює таким чином, що 1 % її учасників дає 99 % інформації щодо підозрілих операцій. Оскільки саме інформація надана банками є основою подальшого узагальнення матеріалів та фінансових розслідувань, то удосконалення методів, засобів та процедур системи фінансового моніторингу банку є підґрунтям подальшого розвитку національної системи фінансового моніторингу та протидії відмиванню коштів.  </w:t>
      </w:r>
    </w:p>
    <w:p w:rsidR="003D3718" w:rsidRPr="003D3718" w:rsidRDefault="003D3718" w:rsidP="00570F96">
      <w:pPr>
        <w:widowControl w:val="0"/>
        <w:spacing w:line="360" w:lineRule="auto"/>
        <w:ind w:firstLine="709"/>
        <w:jc w:val="both"/>
        <w:rPr>
          <w:rFonts w:ascii="Times New Roman" w:hAnsi="Times New Roman" w:cs="Times New Roman"/>
          <w:lang w:val="uk-UA"/>
        </w:rPr>
      </w:pPr>
      <w:r w:rsidRPr="003D3718">
        <w:rPr>
          <w:rFonts w:ascii="Times New Roman" w:eastAsia="Times New Roman" w:hAnsi="Times New Roman" w:cs="Times New Roman"/>
          <w:color w:val="000000"/>
          <w:lang w:val="uk-UA" w:eastAsia="ru-RU"/>
        </w:rPr>
        <w:t xml:space="preserve">Важливим фактором удосконалення національної системи протидії відмиванню коштів є дотримання вимог та рекомендацій Групи  з  розробки  фінансових заходів боротьби з відмиванням коштів або </w:t>
      </w:r>
      <w:proofErr w:type="spellStart"/>
      <w:r w:rsidRPr="003D3718">
        <w:rPr>
          <w:rFonts w:ascii="Times New Roman" w:eastAsia="Times New Roman" w:hAnsi="Times New Roman" w:cs="Times New Roman"/>
          <w:color w:val="000000"/>
          <w:lang w:val="uk-UA" w:eastAsia="ru-RU"/>
        </w:rPr>
        <w:t>Financial</w:t>
      </w:r>
      <w:proofErr w:type="spellEnd"/>
      <w:r w:rsidRPr="003D3718">
        <w:rPr>
          <w:rFonts w:ascii="Times New Roman" w:eastAsia="Times New Roman" w:hAnsi="Times New Roman" w:cs="Times New Roman"/>
          <w:color w:val="000000"/>
          <w:lang w:val="uk-UA" w:eastAsia="ru-RU"/>
        </w:rPr>
        <w:t xml:space="preserve">  </w:t>
      </w:r>
      <w:proofErr w:type="spellStart"/>
      <w:r w:rsidRPr="003D3718">
        <w:rPr>
          <w:rFonts w:ascii="Times New Roman" w:eastAsia="Times New Roman" w:hAnsi="Times New Roman" w:cs="Times New Roman"/>
          <w:color w:val="000000"/>
          <w:lang w:val="uk-UA" w:eastAsia="ru-RU"/>
        </w:rPr>
        <w:t>Action</w:t>
      </w:r>
      <w:proofErr w:type="spellEnd"/>
      <w:r w:rsidRPr="003D3718">
        <w:rPr>
          <w:rFonts w:ascii="Times New Roman" w:eastAsia="Times New Roman" w:hAnsi="Times New Roman" w:cs="Times New Roman"/>
          <w:color w:val="000000"/>
          <w:lang w:val="uk-UA" w:eastAsia="ru-RU"/>
        </w:rPr>
        <w:t xml:space="preserve">  </w:t>
      </w:r>
      <w:proofErr w:type="spellStart"/>
      <w:r w:rsidRPr="003D3718">
        <w:rPr>
          <w:rFonts w:ascii="Times New Roman" w:eastAsia="Times New Roman" w:hAnsi="Times New Roman" w:cs="Times New Roman"/>
          <w:color w:val="000000"/>
          <w:lang w:val="uk-UA" w:eastAsia="ru-RU"/>
        </w:rPr>
        <w:t>Task</w:t>
      </w:r>
      <w:proofErr w:type="spellEnd"/>
      <w:r w:rsidRPr="003D3718">
        <w:rPr>
          <w:rFonts w:ascii="Times New Roman" w:eastAsia="Times New Roman" w:hAnsi="Times New Roman" w:cs="Times New Roman"/>
          <w:color w:val="000000"/>
          <w:lang w:val="uk-UA" w:eastAsia="ru-RU"/>
        </w:rPr>
        <w:t xml:space="preserve">  </w:t>
      </w:r>
      <w:proofErr w:type="spellStart"/>
      <w:r w:rsidRPr="003D3718">
        <w:rPr>
          <w:rFonts w:ascii="Times New Roman" w:eastAsia="Times New Roman" w:hAnsi="Times New Roman" w:cs="Times New Roman"/>
          <w:color w:val="000000"/>
          <w:lang w:val="uk-UA" w:eastAsia="ru-RU"/>
        </w:rPr>
        <w:t>Force</w:t>
      </w:r>
      <w:proofErr w:type="spellEnd"/>
      <w:r w:rsidRPr="003D3718">
        <w:rPr>
          <w:rFonts w:ascii="Times New Roman" w:eastAsia="Times New Roman" w:hAnsi="Times New Roman" w:cs="Times New Roman"/>
          <w:color w:val="000000"/>
          <w:lang w:val="uk-UA" w:eastAsia="ru-RU"/>
        </w:rPr>
        <w:t xml:space="preserve"> (далі FATF). Останніми рекомендаціями FATF передбачено обов’язкове впровадження ризик-орієнтованого підходу. </w:t>
      </w:r>
      <w:r w:rsidRPr="003D3718">
        <w:rPr>
          <w:rFonts w:ascii="Times New Roman" w:hAnsi="Times New Roman" w:cs="Times New Roman"/>
          <w:lang w:val="uk-UA"/>
        </w:rPr>
        <w:t>Згідно з Рекомендаціями FATF застосування підходу, що ґрунтується на оцінці ризиків, фінансові установи, визначені нефінансові установи та професії повинні мати такий перелік процедур:</w:t>
      </w:r>
    </w:p>
    <w:p w:rsidR="003D3718" w:rsidRPr="003D3718" w:rsidRDefault="003D3718" w:rsidP="00570F96">
      <w:pPr>
        <w:pStyle w:val="a3"/>
        <w:widowControl w:val="0"/>
        <w:numPr>
          <w:ilvl w:val="0"/>
          <w:numId w:val="1"/>
        </w:numPr>
        <w:tabs>
          <w:tab w:val="left" w:pos="851"/>
        </w:tabs>
        <w:spacing w:line="360" w:lineRule="auto"/>
        <w:ind w:left="0" w:firstLine="709"/>
        <w:jc w:val="both"/>
        <w:rPr>
          <w:rFonts w:ascii="Times New Roman" w:hAnsi="Times New Roman" w:cs="Times New Roman"/>
          <w:lang w:val="uk-UA"/>
        </w:rPr>
      </w:pPr>
      <w:r w:rsidRPr="003D3718">
        <w:rPr>
          <w:rFonts w:ascii="Times New Roman" w:hAnsi="Times New Roman" w:cs="Times New Roman"/>
          <w:lang w:val="uk-UA"/>
        </w:rPr>
        <w:t>виявлення ризиків відмивання коштів та фінансування тероризму;</w:t>
      </w:r>
    </w:p>
    <w:p w:rsidR="003D3718" w:rsidRPr="003D3718" w:rsidRDefault="003D3718" w:rsidP="00570F96">
      <w:pPr>
        <w:pStyle w:val="a3"/>
        <w:widowControl w:val="0"/>
        <w:numPr>
          <w:ilvl w:val="0"/>
          <w:numId w:val="1"/>
        </w:numPr>
        <w:tabs>
          <w:tab w:val="left" w:pos="851"/>
        </w:tabs>
        <w:spacing w:line="360" w:lineRule="auto"/>
        <w:ind w:left="0" w:firstLine="709"/>
        <w:jc w:val="both"/>
        <w:rPr>
          <w:rFonts w:ascii="Times New Roman" w:hAnsi="Times New Roman" w:cs="Times New Roman"/>
          <w:lang w:val="uk-UA"/>
        </w:rPr>
      </w:pPr>
      <w:r w:rsidRPr="003D3718">
        <w:rPr>
          <w:rFonts w:ascii="Times New Roman" w:hAnsi="Times New Roman" w:cs="Times New Roman"/>
          <w:lang w:val="uk-UA"/>
        </w:rPr>
        <w:t>оцінки ризиків відмивання коштів та фінансування тероризму;</w:t>
      </w:r>
    </w:p>
    <w:p w:rsidR="003D3718" w:rsidRPr="003D3718" w:rsidRDefault="003D3718" w:rsidP="00570F96">
      <w:pPr>
        <w:pStyle w:val="a3"/>
        <w:widowControl w:val="0"/>
        <w:numPr>
          <w:ilvl w:val="0"/>
          <w:numId w:val="1"/>
        </w:numPr>
        <w:tabs>
          <w:tab w:val="left" w:pos="851"/>
        </w:tabs>
        <w:spacing w:line="360" w:lineRule="auto"/>
        <w:ind w:left="0" w:firstLine="709"/>
        <w:jc w:val="both"/>
        <w:rPr>
          <w:rFonts w:ascii="Times New Roman" w:hAnsi="Times New Roman" w:cs="Times New Roman"/>
          <w:lang w:val="uk-UA"/>
        </w:rPr>
      </w:pPr>
      <w:r w:rsidRPr="003D3718">
        <w:rPr>
          <w:rFonts w:ascii="Times New Roman" w:hAnsi="Times New Roman" w:cs="Times New Roman"/>
          <w:lang w:val="uk-UA"/>
        </w:rPr>
        <w:t>моніторингу ризиків відмивання коштів та фінансування тероризму;</w:t>
      </w:r>
    </w:p>
    <w:p w:rsidR="003D3718" w:rsidRPr="003D3718" w:rsidRDefault="003D3718" w:rsidP="00570F96">
      <w:pPr>
        <w:pStyle w:val="a3"/>
        <w:widowControl w:val="0"/>
        <w:numPr>
          <w:ilvl w:val="0"/>
          <w:numId w:val="1"/>
        </w:numPr>
        <w:tabs>
          <w:tab w:val="left" w:pos="851"/>
        </w:tabs>
        <w:spacing w:line="360" w:lineRule="auto"/>
        <w:ind w:left="0" w:firstLine="709"/>
        <w:jc w:val="both"/>
        <w:rPr>
          <w:rFonts w:ascii="Times New Roman" w:hAnsi="Times New Roman" w:cs="Times New Roman"/>
          <w:lang w:val="uk-UA"/>
        </w:rPr>
      </w:pPr>
      <w:r w:rsidRPr="003D3718">
        <w:rPr>
          <w:rFonts w:ascii="Times New Roman" w:hAnsi="Times New Roman" w:cs="Times New Roman"/>
          <w:lang w:val="uk-UA"/>
        </w:rPr>
        <w:t>управління ризиками відмивання коштів та фінансування тероризму;</w:t>
      </w:r>
    </w:p>
    <w:p w:rsidR="003D3718" w:rsidRPr="003D3718" w:rsidRDefault="003D3718" w:rsidP="00570F96">
      <w:pPr>
        <w:pStyle w:val="a3"/>
        <w:widowControl w:val="0"/>
        <w:numPr>
          <w:ilvl w:val="0"/>
          <w:numId w:val="1"/>
        </w:numPr>
        <w:tabs>
          <w:tab w:val="left" w:pos="851"/>
        </w:tabs>
        <w:spacing w:line="360" w:lineRule="auto"/>
        <w:ind w:left="0" w:firstLine="709"/>
        <w:jc w:val="both"/>
        <w:rPr>
          <w:rFonts w:ascii="Times New Roman" w:hAnsi="Times New Roman" w:cs="Times New Roman"/>
          <w:lang w:val="uk-UA"/>
        </w:rPr>
      </w:pPr>
      <w:r w:rsidRPr="003D3718">
        <w:rPr>
          <w:rFonts w:ascii="Times New Roman" w:hAnsi="Times New Roman" w:cs="Times New Roman"/>
          <w:lang w:val="uk-UA"/>
        </w:rPr>
        <w:t>зниження ризиків відмивання коштів та фінансування тероризму.</w:t>
      </w:r>
    </w:p>
    <w:p w:rsidR="003D3718" w:rsidRPr="003D3718" w:rsidRDefault="003D3718" w:rsidP="00570F96">
      <w:pPr>
        <w:widowControl w:val="0"/>
        <w:tabs>
          <w:tab w:val="left" w:pos="993"/>
        </w:tabs>
        <w:spacing w:line="360" w:lineRule="auto"/>
        <w:ind w:firstLine="709"/>
        <w:jc w:val="both"/>
        <w:rPr>
          <w:rFonts w:ascii="Times New Roman" w:hAnsi="Times New Roman" w:cs="Times New Roman"/>
          <w:lang w:val="uk-UA"/>
        </w:rPr>
      </w:pPr>
      <w:r w:rsidRPr="003D3718">
        <w:rPr>
          <w:rFonts w:ascii="Times New Roman" w:hAnsi="Times New Roman" w:cs="Times New Roman"/>
          <w:lang w:val="uk-UA"/>
        </w:rPr>
        <w:t xml:space="preserve">Головна ідея ризик-орієнтованого підходу полягає у тому, що: </w:t>
      </w:r>
    </w:p>
    <w:p w:rsidR="003D3718" w:rsidRPr="003D3718" w:rsidRDefault="003D3718" w:rsidP="00570F96">
      <w:pPr>
        <w:widowControl w:val="0"/>
        <w:tabs>
          <w:tab w:val="left" w:pos="993"/>
        </w:tabs>
        <w:spacing w:line="360" w:lineRule="auto"/>
        <w:ind w:firstLine="709"/>
        <w:jc w:val="both"/>
        <w:rPr>
          <w:rFonts w:ascii="Times New Roman" w:hAnsi="Times New Roman" w:cs="Times New Roman"/>
          <w:lang w:val="uk-UA"/>
        </w:rPr>
      </w:pPr>
      <w:r w:rsidRPr="003D3718">
        <w:rPr>
          <w:rFonts w:ascii="Times New Roman" w:hAnsi="Times New Roman" w:cs="Times New Roman"/>
          <w:lang w:val="uk-UA"/>
        </w:rPr>
        <w:t>у разі виявлення підвищених ризиків передбачено застосування посилених заходів щодо управління та мінімізації ризиків;</w:t>
      </w:r>
    </w:p>
    <w:p w:rsidR="003D3718" w:rsidRPr="003D3718" w:rsidRDefault="003D3718" w:rsidP="00570F96">
      <w:pPr>
        <w:widowControl w:val="0"/>
        <w:tabs>
          <w:tab w:val="left" w:pos="993"/>
        </w:tabs>
        <w:spacing w:line="360" w:lineRule="auto"/>
        <w:ind w:firstLine="709"/>
        <w:jc w:val="both"/>
        <w:rPr>
          <w:rFonts w:ascii="Times New Roman" w:hAnsi="Times New Roman" w:cs="Times New Roman"/>
          <w:lang w:val="uk-UA"/>
        </w:rPr>
      </w:pPr>
      <w:r w:rsidRPr="003D3718">
        <w:rPr>
          <w:rFonts w:ascii="Times New Roman" w:hAnsi="Times New Roman" w:cs="Times New Roman"/>
          <w:lang w:val="uk-UA"/>
        </w:rPr>
        <w:t>у разі виявлення нижчих ризиків дозволяється застосування спрощених заходів.</w:t>
      </w:r>
    </w:p>
    <w:p w:rsidR="003D3718" w:rsidRPr="003D3718" w:rsidRDefault="003D3718" w:rsidP="00570F96">
      <w:pPr>
        <w:widowControl w:val="0"/>
        <w:tabs>
          <w:tab w:val="left" w:pos="993"/>
        </w:tabs>
        <w:spacing w:line="360" w:lineRule="auto"/>
        <w:ind w:firstLine="709"/>
        <w:jc w:val="both"/>
        <w:rPr>
          <w:rFonts w:ascii="Times New Roman" w:hAnsi="Times New Roman" w:cs="Times New Roman"/>
          <w:lang w:val="uk-UA"/>
        </w:rPr>
      </w:pPr>
      <w:r w:rsidRPr="003D3718">
        <w:rPr>
          <w:rFonts w:ascii="Times New Roman" w:hAnsi="Times New Roman" w:cs="Times New Roman"/>
          <w:lang w:val="uk-UA"/>
        </w:rPr>
        <w:t>Перелік процедур, запропонований рекомендаціями ФАТФ, має термінологічні неточності та викликає запитання:</w:t>
      </w:r>
    </w:p>
    <w:p w:rsidR="003D3718" w:rsidRPr="003D3718" w:rsidRDefault="003D3718" w:rsidP="00570F96">
      <w:pPr>
        <w:widowControl w:val="0"/>
        <w:tabs>
          <w:tab w:val="left" w:pos="993"/>
        </w:tabs>
        <w:spacing w:line="360" w:lineRule="auto"/>
        <w:ind w:firstLine="709"/>
        <w:jc w:val="both"/>
        <w:rPr>
          <w:rFonts w:ascii="Times New Roman" w:hAnsi="Times New Roman" w:cs="Times New Roman"/>
          <w:lang w:val="uk-UA"/>
        </w:rPr>
      </w:pPr>
      <w:r w:rsidRPr="003D3718">
        <w:rPr>
          <w:rFonts w:ascii="Times New Roman" w:hAnsi="Times New Roman" w:cs="Times New Roman"/>
          <w:lang w:val="uk-UA"/>
        </w:rPr>
        <w:t>по-перше, процедура управління ризиками відмивання коштів та фінансування тероризму має комплексний характер та містить у собі послідовність виконання багатьох функцій, у тому числі й заявлені виявлення, оцінку, моніторинг та зниження ризиків;</w:t>
      </w:r>
    </w:p>
    <w:p w:rsidR="003D3718" w:rsidRPr="003D3718" w:rsidRDefault="003D3718" w:rsidP="00570F96">
      <w:pPr>
        <w:widowControl w:val="0"/>
        <w:tabs>
          <w:tab w:val="left" w:pos="993"/>
        </w:tabs>
        <w:spacing w:line="360" w:lineRule="auto"/>
        <w:ind w:firstLine="709"/>
        <w:jc w:val="both"/>
        <w:rPr>
          <w:rFonts w:ascii="Times New Roman" w:hAnsi="Times New Roman" w:cs="Times New Roman"/>
          <w:lang w:val="uk-UA"/>
        </w:rPr>
      </w:pPr>
      <w:r w:rsidRPr="003D3718">
        <w:rPr>
          <w:rFonts w:ascii="Times New Roman" w:hAnsi="Times New Roman" w:cs="Times New Roman"/>
          <w:lang w:val="uk-UA"/>
        </w:rPr>
        <w:lastRenderedPageBreak/>
        <w:t>по-друге, зниження ризиків відмивання коштів може бути як метою управління ризиками, так і його результатом;</w:t>
      </w:r>
    </w:p>
    <w:p w:rsidR="003D3718" w:rsidRDefault="003D3718" w:rsidP="00570F96">
      <w:pPr>
        <w:widowControl w:val="0"/>
        <w:tabs>
          <w:tab w:val="left" w:pos="993"/>
        </w:tabs>
        <w:spacing w:line="360" w:lineRule="auto"/>
        <w:ind w:firstLine="709"/>
        <w:jc w:val="both"/>
        <w:rPr>
          <w:rFonts w:ascii="Times New Roman" w:hAnsi="Times New Roman" w:cs="Times New Roman"/>
          <w:lang w:val="uk-UA"/>
        </w:rPr>
      </w:pPr>
      <w:r w:rsidRPr="003D3718">
        <w:rPr>
          <w:rFonts w:ascii="Times New Roman" w:hAnsi="Times New Roman" w:cs="Times New Roman"/>
          <w:lang w:val="uk-UA"/>
        </w:rPr>
        <w:t>по-третє, відсутнє згадування процедури взаємодії фінансових установ з іншими суб’єктами системи фінансового моніторингу як щодо обміну інформацією, так і щодо подальшої співпраці у застосуванні спрощених чи посилених заходів управління та мінімізації ризиків.</w:t>
      </w:r>
    </w:p>
    <w:p w:rsidR="007F3626" w:rsidRDefault="003D3718" w:rsidP="00570F96">
      <w:pPr>
        <w:widowControl w:val="0"/>
        <w:tabs>
          <w:tab w:val="left" w:pos="993"/>
        </w:tabs>
        <w:spacing w:line="360" w:lineRule="auto"/>
        <w:ind w:firstLine="709"/>
        <w:jc w:val="both"/>
        <w:rPr>
          <w:rFonts w:ascii="Times New Roman" w:hAnsi="Times New Roman" w:cs="Times New Roman"/>
          <w:lang w:val="uk-UA"/>
        </w:rPr>
      </w:pPr>
      <w:r>
        <w:rPr>
          <w:rFonts w:ascii="Times New Roman" w:hAnsi="Times New Roman" w:cs="Times New Roman"/>
          <w:lang w:val="uk-UA"/>
        </w:rPr>
        <w:t xml:space="preserve">Зрозуміло, що рекомендації </w:t>
      </w:r>
      <w:r w:rsidRPr="003D3718">
        <w:rPr>
          <w:rFonts w:ascii="Times New Roman" w:eastAsia="Times New Roman" w:hAnsi="Times New Roman" w:cs="Times New Roman"/>
          <w:color w:val="000000"/>
          <w:lang w:val="uk-UA" w:eastAsia="ru-RU"/>
        </w:rPr>
        <w:t>FATF</w:t>
      </w:r>
      <w:r>
        <w:rPr>
          <w:rFonts w:ascii="Times New Roman" w:eastAsia="Times New Roman" w:hAnsi="Times New Roman" w:cs="Times New Roman"/>
          <w:color w:val="000000"/>
          <w:lang w:val="uk-UA" w:eastAsia="ru-RU"/>
        </w:rPr>
        <w:t xml:space="preserve"> мають узагальнений характер, їх необхідно деталізувати та роз</w:t>
      </w:r>
      <w:r w:rsidR="007F3626">
        <w:rPr>
          <w:rFonts w:ascii="Times New Roman" w:eastAsia="Times New Roman" w:hAnsi="Times New Roman" w:cs="Times New Roman"/>
          <w:color w:val="000000"/>
          <w:lang w:val="uk-UA" w:eastAsia="ru-RU"/>
        </w:rPr>
        <w:t xml:space="preserve">ширити на рівні окремої держави, а потім й на рівні суб’єктів первинного фінансового моніторингу. Проте, якщо проаналізувати наявний </w:t>
      </w:r>
      <w:r w:rsidR="00FA439B">
        <w:rPr>
          <w:rFonts w:ascii="Times New Roman" w:eastAsia="Times New Roman" w:hAnsi="Times New Roman" w:cs="Times New Roman"/>
          <w:color w:val="000000"/>
          <w:lang w:val="uk-UA" w:eastAsia="ru-RU"/>
        </w:rPr>
        <w:t xml:space="preserve">в банках </w:t>
      </w:r>
      <w:r w:rsidR="007F3626">
        <w:rPr>
          <w:rFonts w:ascii="Times New Roman" w:eastAsia="Times New Roman" w:hAnsi="Times New Roman" w:cs="Times New Roman"/>
          <w:color w:val="000000"/>
          <w:lang w:val="uk-UA" w:eastAsia="ru-RU"/>
        </w:rPr>
        <w:t>інструментарій протидії легалізації доходів</w:t>
      </w:r>
      <w:r w:rsidR="00FA439B">
        <w:rPr>
          <w:rFonts w:ascii="Times New Roman" w:eastAsia="Times New Roman" w:hAnsi="Times New Roman" w:cs="Times New Roman"/>
          <w:color w:val="000000"/>
          <w:lang w:val="uk-UA" w:eastAsia="ru-RU"/>
        </w:rPr>
        <w:t>,</w:t>
      </w:r>
      <w:r w:rsidR="007F3626">
        <w:rPr>
          <w:rFonts w:ascii="Times New Roman" w:eastAsia="Times New Roman" w:hAnsi="Times New Roman" w:cs="Times New Roman"/>
          <w:color w:val="000000"/>
          <w:lang w:val="uk-UA" w:eastAsia="ru-RU"/>
        </w:rPr>
        <w:t xml:space="preserve"> отриманих злочинним шляхом, то стає зрозумілим, що він </w:t>
      </w:r>
      <w:r w:rsidR="00FA439B">
        <w:rPr>
          <w:rFonts w:ascii="Times New Roman" w:eastAsia="Times New Roman" w:hAnsi="Times New Roman" w:cs="Times New Roman"/>
          <w:color w:val="000000"/>
          <w:lang w:val="uk-UA" w:eastAsia="ru-RU"/>
        </w:rPr>
        <w:t xml:space="preserve">поки що </w:t>
      </w:r>
      <w:r w:rsidR="007F3626">
        <w:rPr>
          <w:rFonts w:ascii="Times New Roman" w:eastAsia="Times New Roman" w:hAnsi="Times New Roman" w:cs="Times New Roman"/>
          <w:color w:val="000000"/>
          <w:lang w:val="uk-UA" w:eastAsia="ru-RU"/>
        </w:rPr>
        <w:t xml:space="preserve">не </w:t>
      </w:r>
      <w:r w:rsidR="00FA439B">
        <w:rPr>
          <w:rFonts w:ascii="Times New Roman" w:eastAsia="Times New Roman" w:hAnsi="Times New Roman" w:cs="Times New Roman"/>
          <w:color w:val="000000"/>
          <w:lang w:val="uk-UA" w:eastAsia="ru-RU"/>
        </w:rPr>
        <w:t xml:space="preserve">містить дієвих складових, спрямованих на впровадження ризик-орієнтованого підходу. Це в першу чергу, пов’язано з тим, що насамперед мають бути затверджені національні стандарти щодо оцінювання ризиків, щодо визначення та визнання певного рівня ризику високим (підвищеним), тобто має бути встановлена певна межа, яка дозволяє диференціювати ризики, здійснювати їх якісну класифікацію на низькі, середні, високі. </w:t>
      </w:r>
      <w:r w:rsidR="000C3F72">
        <w:rPr>
          <w:rFonts w:ascii="Times New Roman" w:eastAsia="Times New Roman" w:hAnsi="Times New Roman" w:cs="Times New Roman"/>
          <w:color w:val="000000"/>
          <w:lang w:val="uk-UA" w:eastAsia="ru-RU"/>
        </w:rPr>
        <w:t>І на думку автора, у цьому питанні неможна делегувати це завдання суб’єктам первинного фінансового моніторингу, оскільки в межах однієї держави мають використовуватись єдині стандарти та підходи.</w:t>
      </w:r>
      <w:r w:rsidR="004B25A6">
        <w:rPr>
          <w:rFonts w:ascii="Times New Roman" w:eastAsia="Times New Roman" w:hAnsi="Times New Roman" w:cs="Times New Roman"/>
          <w:color w:val="000000"/>
          <w:lang w:val="uk-UA" w:eastAsia="ru-RU"/>
        </w:rPr>
        <w:t xml:space="preserve"> На підтвердження даної тези доцільно навести цитату з </w:t>
      </w:r>
      <w:r w:rsidR="000C3F72">
        <w:rPr>
          <w:rFonts w:ascii="Times New Roman" w:eastAsia="Times New Roman" w:hAnsi="Times New Roman" w:cs="Times New Roman"/>
          <w:color w:val="000000"/>
          <w:lang w:val="uk-UA" w:eastAsia="ru-RU"/>
        </w:rPr>
        <w:t xml:space="preserve"> </w:t>
      </w:r>
      <w:r w:rsidR="004B25A6" w:rsidRPr="000C3F72">
        <w:rPr>
          <w:rFonts w:ascii="Times New Roman" w:hAnsi="Times New Roman" w:cs="Times New Roman"/>
          <w:lang w:val="uk-UA"/>
        </w:rPr>
        <w:t>План</w:t>
      </w:r>
      <w:r w:rsidR="004B25A6">
        <w:rPr>
          <w:rFonts w:ascii="Times New Roman" w:hAnsi="Times New Roman" w:cs="Times New Roman"/>
          <w:lang w:val="uk-UA"/>
        </w:rPr>
        <w:t>у</w:t>
      </w:r>
      <w:r w:rsidR="004B25A6" w:rsidRPr="000C3F72">
        <w:rPr>
          <w:rFonts w:ascii="Times New Roman" w:hAnsi="Times New Roman" w:cs="Times New Roman"/>
          <w:lang w:val="uk-UA"/>
        </w:rPr>
        <w:t xml:space="preserve"> заходів на 2017-2019 роки з реалізації </w:t>
      </w:r>
      <w:r w:rsidR="004B25A6" w:rsidRPr="004B25A6">
        <w:rPr>
          <w:rFonts w:ascii="Times New Roman" w:hAnsi="Times New Roman" w:cs="Times New Roman"/>
          <w:lang w:val="uk-UA"/>
        </w:rPr>
        <w:t>Стратегії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 період до 2020 року, у якому Ризик 16 – це «</w:t>
      </w:r>
      <w:r w:rsidR="004B25A6" w:rsidRPr="004B25A6">
        <w:rPr>
          <w:rFonts w:ascii="Times New Roman" w:hAnsi="Times New Roman" w:cs="Times New Roman"/>
          <w:iCs/>
          <w:color w:val="000000"/>
          <w:shd w:val="clear" w:color="auto" w:fill="FFFFFF"/>
          <w:lang w:val="uk-UA"/>
        </w:rPr>
        <w:t>Недосконала система первинного виявлення підозрілих фінансових операцій», а захід, спрямований на зниження цього ризику</w:t>
      </w:r>
      <w:r w:rsidR="004B25A6">
        <w:rPr>
          <w:rFonts w:ascii="Times New Roman" w:hAnsi="Times New Roman" w:cs="Times New Roman"/>
          <w:iCs/>
          <w:color w:val="000000"/>
          <w:shd w:val="clear" w:color="auto" w:fill="FFFFFF"/>
          <w:lang w:val="uk-UA"/>
        </w:rPr>
        <w:t>,</w:t>
      </w:r>
      <w:r w:rsidR="004B25A6" w:rsidRPr="004B25A6">
        <w:rPr>
          <w:rFonts w:ascii="Times New Roman" w:hAnsi="Times New Roman" w:cs="Times New Roman"/>
          <w:iCs/>
          <w:color w:val="000000"/>
          <w:shd w:val="clear" w:color="auto" w:fill="FFFFFF"/>
          <w:lang w:val="uk-UA"/>
        </w:rPr>
        <w:t xml:space="preserve"> – це «</w:t>
      </w:r>
      <w:r w:rsidR="004B25A6" w:rsidRPr="004B25A6">
        <w:rPr>
          <w:rFonts w:ascii="Times New Roman" w:hAnsi="Times New Roman" w:cs="Times New Roman"/>
          <w:color w:val="000000"/>
          <w:shd w:val="clear" w:color="auto" w:fill="FFFFFF"/>
          <w:lang w:val="uk-UA"/>
        </w:rPr>
        <w:t>Забезпечення застосування суб’єктами первинного фінансового моніторингу ризик-орієнтованого підходу під час аналізу та виявлення фінансових операцій клієнтів та подання інформації про них Держфінмоніторингу</w:t>
      </w:r>
      <w:r w:rsidR="004B25A6" w:rsidRPr="004B25A6">
        <w:rPr>
          <w:rFonts w:ascii="Times New Roman" w:hAnsi="Times New Roman" w:cs="Times New Roman"/>
          <w:lang w:val="uk-UA"/>
        </w:rPr>
        <w:t>» з терміном виконання ІІ квартал 2018 року [2].</w:t>
      </w:r>
    </w:p>
    <w:p w:rsidR="006B2BCF" w:rsidRPr="006B2BCF" w:rsidRDefault="00570F96" w:rsidP="00570F96">
      <w:pPr>
        <w:widowControl w:val="0"/>
        <w:tabs>
          <w:tab w:val="left" w:pos="993"/>
        </w:tabs>
        <w:spacing w:line="360" w:lineRule="auto"/>
        <w:ind w:firstLine="709"/>
        <w:jc w:val="both"/>
        <w:rPr>
          <w:rFonts w:ascii="Times New Roman" w:hAnsi="Times New Roman" w:cs="Times New Roman"/>
          <w:color w:val="000000"/>
          <w:shd w:val="clear" w:color="auto" w:fill="FFFFFF"/>
          <w:lang w:val="uk-UA"/>
        </w:rPr>
      </w:pPr>
      <w:r>
        <w:rPr>
          <w:rFonts w:ascii="Times New Roman" w:hAnsi="Times New Roman" w:cs="Times New Roman"/>
          <w:lang w:val="uk-UA"/>
        </w:rPr>
        <w:t xml:space="preserve">Проте слід зауважити, що Національний банк, який є головним </w:t>
      </w:r>
      <w:r>
        <w:rPr>
          <w:rFonts w:ascii="Times New Roman" w:hAnsi="Times New Roman" w:cs="Times New Roman"/>
          <w:lang w:val="uk-UA"/>
        </w:rPr>
        <w:lastRenderedPageBreak/>
        <w:t xml:space="preserve">регулятором діяльності суб’єктів первинного фінансового моніторингу – банків, значиться серед відповідальних за здійснення заходу з приміткою «за згодою», що відносить на другорядний план виконання завдання імплементації ризик-орієнтованого підходу у діяльність банків щодо протидії відмиванню коштів. Звичайно, можна сподіватись на сумлінність та свідомість </w:t>
      </w:r>
      <w:r w:rsidR="006B2BCF" w:rsidRPr="006B2BCF">
        <w:rPr>
          <w:rFonts w:ascii="Times New Roman" w:hAnsi="Times New Roman" w:cs="Times New Roman"/>
          <w:lang w:val="uk-UA"/>
        </w:rPr>
        <w:t xml:space="preserve">як </w:t>
      </w:r>
      <w:r w:rsidRPr="006B2BCF">
        <w:rPr>
          <w:rFonts w:ascii="Times New Roman" w:hAnsi="Times New Roman" w:cs="Times New Roman"/>
          <w:lang w:val="uk-UA"/>
        </w:rPr>
        <w:t>Національного банку</w:t>
      </w:r>
      <w:r w:rsidR="006B2BCF" w:rsidRPr="006B2BCF">
        <w:rPr>
          <w:rFonts w:ascii="Times New Roman" w:hAnsi="Times New Roman" w:cs="Times New Roman"/>
          <w:lang w:val="uk-UA"/>
        </w:rPr>
        <w:t>, так і банків другого рівня</w:t>
      </w:r>
      <w:r w:rsidRPr="006B2BCF">
        <w:rPr>
          <w:rFonts w:ascii="Times New Roman" w:hAnsi="Times New Roman" w:cs="Times New Roman"/>
          <w:lang w:val="uk-UA"/>
        </w:rPr>
        <w:t xml:space="preserve"> у вирішенні цього питання</w:t>
      </w:r>
      <w:r w:rsidR="006B2BCF" w:rsidRPr="006B2BCF">
        <w:rPr>
          <w:rFonts w:ascii="Times New Roman" w:hAnsi="Times New Roman" w:cs="Times New Roman"/>
          <w:lang w:val="uk-UA"/>
        </w:rPr>
        <w:t xml:space="preserve">, проте Ризик 19 щодо неефективності санкцій за порушення </w:t>
      </w:r>
      <w:r w:rsidR="006B2BCF" w:rsidRPr="006B2BCF">
        <w:rPr>
          <w:rFonts w:ascii="Times New Roman" w:hAnsi="Times New Roman" w:cs="Times New Roman"/>
          <w:iCs/>
          <w:color w:val="000000"/>
          <w:shd w:val="clear" w:color="auto" w:fill="FFFFFF"/>
          <w:lang w:val="uk-UA"/>
        </w:rPr>
        <w:t xml:space="preserve">вимог законодавства у сфері запобігання та протидії легалізації (відмиванню) доходів, одержаних злочинним шляхом, знову за згодою НБУ, </w:t>
      </w:r>
      <w:r w:rsidR="006B2BCF" w:rsidRPr="006B2BCF">
        <w:rPr>
          <w:rFonts w:ascii="Times New Roman" w:hAnsi="Times New Roman" w:cs="Times New Roman"/>
          <w:color w:val="000000"/>
          <w:shd w:val="clear" w:color="auto" w:fill="FFFFFF"/>
          <w:lang w:val="uk-UA"/>
        </w:rPr>
        <w:t xml:space="preserve">НКЦПФР та </w:t>
      </w:r>
      <w:proofErr w:type="spellStart"/>
      <w:r w:rsidR="006B2BCF" w:rsidRPr="006B2BCF">
        <w:rPr>
          <w:rFonts w:ascii="Times New Roman" w:hAnsi="Times New Roman" w:cs="Times New Roman"/>
          <w:color w:val="000000"/>
          <w:shd w:val="clear" w:color="auto" w:fill="FFFFFF"/>
          <w:lang w:val="uk-UA"/>
        </w:rPr>
        <w:t>Нацкомфінпослуг</w:t>
      </w:r>
      <w:proofErr w:type="spellEnd"/>
      <w:r w:rsidR="006B2BCF" w:rsidRPr="006B2BCF">
        <w:rPr>
          <w:rFonts w:ascii="Times New Roman" w:hAnsi="Times New Roman" w:cs="Times New Roman"/>
          <w:color w:val="000000"/>
          <w:shd w:val="clear" w:color="auto" w:fill="FFFFFF"/>
          <w:lang w:val="uk-UA"/>
        </w:rPr>
        <w:t xml:space="preserve"> </w:t>
      </w:r>
      <w:r w:rsidR="007C5A26">
        <w:rPr>
          <w:rFonts w:ascii="Times New Roman" w:hAnsi="Times New Roman" w:cs="Times New Roman"/>
          <w:color w:val="000000"/>
          <w:shd w:val="clear" w:color="auto" w:fill="FFFFFF"/>
          <w:lang w:val="uk-UA"/>
        </w:rPr>
        <w:t xml:space="preserve">визнає необхідність і пропонує </w:t>
      </w:r>
      <w:r w:rsidR="006B2BCF" w:rsidRPr="006B2BCF">
        <w:rPr>
          <w:rFonts w:ascii="Times New Roman" w:hAnsi="Times New Roman" w:cs="Times New Roman"/>
          <w:color w:val="000000"/>
          <w:shd w:val="clear" w:color="auto" w:fill="FFFFFF"/>
          <w:lang w:val="uk-UA"/>
        </w:rPr>
        <w:t>вдосконалення процедури застосування штрафних санкцій до суб’єктів первинного фінансового моніторингу за результатами перевірок дотримання законодавства.</w:t>
      </w:r>
    </w:p>
    <w:p w:rsidR="00570F96" w:rsidRDefault="006B2BCF" w:rsidP="00570F96">
      <w:pPr>
        <w:widowControl w:val="0"/>
        <w:tabs>
          <w:tab w:val="left" w:pos="993"/>
        </w:tabs>
        <w:spacing w:line="360" w:lineRule="auto"/>
        <w:ind w:firstLine="709"/>
        <w:jc w:val="both"/>
        <w:rPr>
          <w:rFonts w:ascii="Times New Roman" w:hAnsi="Times New Roman" w:cs="Times New Roman"/>
          <w:lang w:val="uk-UA"/>
        </w:rPr>
      </w:pPr>
      <w:r w:rsidRPr="006B2BCF">
        <w:rPr>
          <w:rFonts w:ascii="Times New Roman" w:hAnsi="Times New Roman" w:cs="Times New Roman"/>
          <w:color w:val="000000"/>
          <w:shd w:val="clear" w:color="auto" w:fill="FFFFFF"/>
          <w:lang w:val="uk-UA"/>
        </w:rPr>
        <w:t xml:space="preserve">Звернімо увагу, що якщо власне вдосконалення та розвиток законодавства може здійснюватися на добровільних вибіркових засадах, то й </w:t>
      </w:r>
      <w:r>
        <w:rPr>
          <w:rFonts w:ascii="Times New Roman" w:hAnsi="Times New Roman" w:cs="Times New Roman"/>
          <w:color w:val="000000"/>
          <w:shd w:val="clear" w:color="auto" w:fill="FFFFFF"/>
          <w:lang w:val="uk-UA"/>
        </w:rPr>
        <w:t>стягнення за порушення такого законодавства й власне застосування штрафних санкцій також передбачає можливі</w:t>
      </w:r>
      <w:r w:rsidR="007C5A26">
        <w:rPr>
          <w:rFonts w:ascii="Times New Roman" w:hAnsi="Times New Roman" w:cs="Times New Roman"/>
          <w:color w:val="000000"/>
          <w:shd w:val="clear" w:color="auto" w:fill="FFFFFF"/>
          <w:lang w:val="uk-UA"/>
        </w:rPr>
        <w:t>сть ухилення від змін. Зазначене</w:t>
      </w:r>
      <w:r>
        <w:rPr>
          <w:rFonts w:ascii="Times New Roman" w:hAnsi="Times New Roman" w:cs="Times New Roman"/>
          <w:color w:val="000000"/>
          <w:shd w:val="clear" w:color="auto" w:fill="FFFFFF"/>
          <w:lang w:val="uk-UA"/>
        </w:rPr>
        <w:t xml:space="preserve"> говорить про те, що </w:t>
      </w:r>
      <w:r w:rsidR="00BA7BA7">
        <w:rPr>
          <w:rFonts w:ascii="Times New Roman" w:hAnsi="Times New Roman" w:cs="Times New Roman"/>
          <w:color w:val="000000"/>
          <w:shd w:val="clear" w:color="auto" w:fill="FFFFFF"/>
          <w:lang w:val="uk-UA"/>
        </w:rPr>
        <w:t xml:space="preserve">науково обґрунтовані розробки методичного забезпечення </w:t>
      </w:r>
      <w:r w:rsidR="00A93D67">
        <w:rPr>
          <w:rFonts w:ascii="Times New Roman" w:hAnsi="Times New Roman" w:cs="Times New Roman"/>
          <w:color w:val="000000"/>
          <w:shd w:val="clear" w:color="auto" w:fill="FFFFFF"/>
          <w:lang w:val="uk-UA"/>
        </w:rPr>
        <w:t xml:space="preserve"> процедур</w:t>
      </w:r>
      <w:r>
        <w:rPr>
          <w:rFonts w:ascii="Times New Roman" w:hAnsi="Times New Roman" w:cs="Times New Roman"/>
          <w:color w:val="000000"/>
          <w:shd w:val="clear" w:color="auto" w:fill="FFFFFF"/>
          <w:lang w:val="uk-UA"/>
        </w:rPr>
        <w:t xml:space="preserve"> </w:t>
      </w:r>
      <w:r w:rsidR="00BA7BA7" w:rsidRPr="003D3718">
        <w:rPr>
          <w:rFonts w:ascii="Times New Roman" w:hAnsi="Times New Roman" w:cs="Times New Roman"/>
          <w:lang w:val="uk-UA"/>
        </w:rPr>
        <w:t xml:space="preserve">застосування підходу, що ґрунтується на оцінці ризиків, </w:t>
      </w:r>
      <w:r w:rsidR="00BA7BA7">
        <w:rPr>
          <w:rFonts w:ascii="Times New Roman" w:hAnsi="Times New Roman" w:cs="Times New Roman"/>
          <w:lang w:val="uk-UA"/>
        </w:rPr>
        <w:t xml:space="preserve">до запобігання та протидії відмиванню коштів в установах банків </w:t>
      </w:r>
      <w:r w:rsidR="00210AE4">
        <w:rPr>
          <w:rFonts w:ascii="Times New Roman" w:hAnsi="Times New Roman" w:cs="Times New Roman"/>
          <w:lang w:val="uk-UA"/>
        </w:rPr>
        <w:t xml:space="preserve">хоча і </w:t>
      </w:r>
      <w:r w:rsidR="00BA7BA7">
        <w:rPr>
          <w:rFonts w:ascii="Times New Roman" w:hAnsi="Times New Roman" w:cs="Times New Roman"/>
          <w:lang w:val="uk-UA"/>
        </w:rPr>
        <w:t>є перспективними</w:t>
      </w:r>
      <w:r w:rsidR="00210AE4">
        <w:rPr>
          <w:rFonts w:ascii="Times New Roman" w:hAnsi="Times New Roman" w:cs="Times New Roman"/>
          <w:lang w:val="uk-UA"/>
        </w:rPr>
        <w:t xml:space="preserve">, але, на жаль, </w:t>
      </w:r>
      <w:r w:rsidR="00DE7541">
        <w:rPr>
          <w:rFonts w:ascii="Times New Roman" w:hAnsi="Times New Roman" w:cs="Times New Roman"/>
          <w:lang w:val="uk-UA"/>
        </w:rPr>
        <w:t xml:space="preserve">не </w:t>
      </w:r>
      <w:r w:rsidR="00210AE4">
        <w:rPr>
          <w:rFonts w:ascii="Times New Roman" w:hAnsi="Times New Roman" w:cs="Times New Roman"/>
          <w:lang w:val="uk-UA"/>
        </w:rPr>
        <w:t xml:space="preserve">становлять перший пріоритет у </w:t>
      </w:r>
      <w:r w:rsidR="00210AE4" w:rsidRPr="000C3F72">
        <w:rPr>
          <w:rFonts w:ascii="Times New Roman" w:hAnsi="Times New Roman" w:cs="Times New Roman"/>
          <w:lang w:val="uk-UA"/>
        </w:rPr>
        <w:t>розвитку системи запобігання та протидії легалізації (відмиванню) доходів, одержаних злочинним шляхом</w:t>
      </w:r>
      <w:r w:rsidR="00210AE4">
        <w:rPr>
          <w:rFonts w:ascii="Times New Roman" w:hAnsi="Times New Roman" w:cs="Times New Roman"/>
          <w:lang w:val="uk-UA"/>
        </w:rPr>
        <w:t>.</w:t>
      </w:r>
      <w:r w:rsidR="00BA7BA7">
        <w:rPr>
          <w:rFonts w:ascii="Times New Roman" w:hAnsi="Times New Roman" w:cs="Times New Roman"/>
          <w:lang w:val="uk-UA"/>
        </w:rPr>
        <w:t xml:space="preserve"> </w:t>
      </w:r>
    </w:p>
    <w:p w:rsidR="00DE7541" w:rsidRPr="00DE7541" w:rsidRDefault="00DE7541" w:rsidP="00DE7541">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 xml:space="preserve">Одним з важливих шляхів прискорення впровадження ризик-орієнтованого підходу до запобігання та протидії відмиванню коштів є ініціативна розробка відповідних методичних рекомендацій, методичних підходів, </w:t>
      </w:r>
      <w:r w:rsidRPr="00DE7541">
        <w:rPr>
          <w:rFonts w:ascii="Times New Roman" w:hAnsi="Times New Roman" w:cs="Times New Roman"/>
          <w:lang w:val="uk-UA"/>
        </w:rPr>
        <w:t>як на замовлення суб</w:t>
      </w:r>
      <w:r>
        <w:rPr>
          <w:rFonts w:ascii="Times New Roman" w:hAnsi="Times New Roman" w:cs="Times New Roman"/>
          <w:lang w:val="uk-UA"/>
        </w:rPr>
        <w:t>’єктів первинного моніторингу, так і у якості самостійно</w:t>
      </w:r>
      <w:r w:rsidR="0058318C">
        <w:rPr>
          <w:rFonts w:ascii="Times New Roman" w:hAnsi="Times New Roman" w:cs="Times New Roman"/>
          <w:lang w:val="uk-UA"/>
        </w:rPr>
        <w:t xml:space="preserve"> проведених наукових досліджень, результати яких мають бути спрямовані до відповідних компетентних органів з пропозиціями щодо впровадження у практичну діяльність функціонування системи фінансового моніторингу в Україні.</w:t>
      </w:r>
    </w:p>
    <w:p w:rsidR="00DE7541" w:rsidRPr="006B2BCF" w:rsidRDefault="00DE7541" w:rsidP="00570F96">
      <w:pPr>
        <w:widowControl w:val="0"/>
        <w:tabs>
          <w:tab w:val="left" w:pos="993"/>
        </w:tabs>
        <w:spacing w:line="360" w:lineRule="auto"/>
        <w:ind w:firstLine="709"/>
        <w:jc w:val="both"/>
        <w:rPr>
          <w:rFonts w:ascii="Times New Roman" w:hAnsi="Times New Roman" w:cs="Times New Roman"/>
          <w:lang w:val="uk-UA"/>
        </w:rPr>
      </w:pPr>
    </w:p>
    <w:p w:rsidR="004B25A6" w:rsidRPr="00DE7541" w:rsidRDefault="004B25A6" w:rsidP="00570F96">
      <w:pPr>
        <w:widowControl w:val="0"/>
        <w:tabs>
          <w:tab w:val="left" w:pos="993"/>
        </w:tabs>
        <w:spacing w:line="360" w:lineRule="auto"/>
        <w:jc w:val="center"/>
        <w:rPr>
          <w:rFonts w:ascii="Times New Roman" w:eastAsia="Times New Roman" w:hAnsi="Times New Roman" w:cs="Times New Roman"/>
          <w:b/>
          <w:color w:val="000000"/>
          <w:lang w:val="uk-UA" w:eastAsia="ru-RU"/>
        </w:rPr>
      </w:pPr>
      <w:r w:rsidRPr="00DE7541">
        <w:rPr>
          <w:rFonts w:ascii="Times New Roman" w:hAnsi="Times New Roman" w:cs="Times New Roman"/>
          <w:b/>
          <w:lang w:val="uk-UA"/>
        </w:rPr>
        <w:lastRenderedPageBreak/>
        <w:t>Список використаних джерел</w:t>
      </w:r>
      <w:r w:rsidR="00DE7541">
        <w:rPr>
          <w:rFonts w:ascii="Times New Roman" w:hAnsi="Times New Roman" w:cs="Times New Roman"/>
          <w:b/>
          <w:lang w:val="uk-UA"/>
        </w:rPr>
        <w:t>:</w:t>
      </w:r>
    </w:p>
    <w:p w:rsidR="000C3F72" w:rsidRDefault="000C3F72" w:rsidP="00570F96">
      <w:pPr>
        <w:pStyle w:val="a3"/>
        <w:widowControl w:val="0"/>
        <w:numPr>
          <w:ilvl w:val="0"/>
          <w:numId w:val="2"/>
        </w:numPr>
        <w:tabs>
          <w:tab w:val="left" w:pos="993"/>
        </w:tabs>
        <w:spacing w:line="360" w:lineRule="auto"/>
        <w:ind w:left="0" w:firstLine="709"/>
        <w:jc w:val="both"/>
        <w:rPr>
          <w:rFonts w:ascii="Times New Roman" w:hAnsi="Times New Roman" w:cs="Times New Roman"/>
          <w:lang w:val="uk-UA"/>
        </w:rPr>
      </w:pPr>
      <w:r w:rsidRPr="000C3F72">
        <w:rPr>
          <w:rFonts w:ascii="Times New Roman" w:hAnsi="Times New Roman" w:cs="Times New Roman"/>
          <w:lang w:val="uk-UA"/>
        </w:rPr>
        <w:t>Стратегія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 період до 2020 року, затверджена Розпорядженням Кабінету міністрів України від 30 грудня 2015 року № 1407-р.</w:t>
      </w:r>
      <w:r>
        <w:rPr>
          <w:rFonts w:ascii="Times New Roman" w:hAnsi="Times New Roman" w:cs="Times New Roman"/>
          <w:lang w:val="uk-UA"/>
        </w:rPr>
        <w:t xml:space="preserve">: </w:t>
      </w:r>
      <w:r w:rsidRPr="000C3F72">
        <w:rPr>
          <w:rFonts w:ascii="Times New Roman" w:hAnsi="Times New Roman" w:cs="Times New Roman"/>
          <w:lang w:val="uk-UA"/>
        </w:rPr>
        <w:t>[Електронний  ресурс].  –  Режим доступу:  http://zakon5.rada.gov.ua/laws/show/1407-2015-%D1%80/paran9#n9.</w:t>
      </w:r>
      <w:r>
        <w:rPr>
          <w:rFonts w:ascii="Times New Roman" w:hAnsi="Times New Roman" w:cs="Times New Roman"/>
          <w:lang w:val="uk-UA"/>
        </w:rPr>
        <w:t xml:space="preserve"> </w:t>
      </w:r>
    </w:p>
    <w:p w:rsidR="00A40465" w:rsidRDefault="000C3F72" w:rsidP="00570F96">
      <w:pPr>
        <w:pStyle w:val="a3"/>
        <w:widowControl w:val="0"/>
        <w:numPr>
          <w:ilvl w:val="0"/>
          <w:numId w:val="2"/>
        </w:numPr>
        <w:tabs>
          <w:tab w:val="left" w:pos="993"/>
        </w:tabs>
        <w:spacing w:line="360" w:lineRule="auto"/>
        <w:ind w:left="0" w:firstLine="709"/>
        <w:jc w:val="both"/>
        <w:rPr>
          <w:rFonts w:ascii="Times New Roman" w:hAnsi="Times New Roman" w:cs="Times New Roman"/>
          <w:lang w:val="uk-UA"/>
        </w:rPr>
      </w:pPr>
      <w:r w:rsidRPr="000C3F72">
        <w:rPr>
          <w:rFonts w:ascii="Times New Roman" w:hAnsi="Times New Roman" w:cs="Times New Roman"/>
          <w:lang w:val="uk-UA"/>
        </w:rPr>
        <w:t>План заходів на 2017-2019 роки з реалізації Стратегії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 період до 2020 року, затверджений Розпорядженням Кабінету міністрів України від 30 серпня 2017 року</w:t>
      </w:r>
      <w:r>
        <w:rPr>
          <w:rFonts w:ascii="Times New Roman" w:hAnsi="Times New Roman" w:cs="Times New Roman"/>
          <w:lang w:val="uk-UA"/>
        </w:rPr>
        <w:t xml:space="preserve">: </w:t>
      </w:r>
      <w:r w:rsidRPr="000C3F72">
        <w:rPr>
          <w:rFonts w:ascii="Times New Roman" w:hAnsi="Times New Roman" w:cs="Times New Roman"/>
          <w:lang w:val="uk-UA"/>
        </w:rPr>
        <w:t>[Електронний  ресурс].  – http://zakon5.rada.gov.ua/laws/show/601-2017-%D1%80.</w:t>
      </w:r>
    </w:p>
    <w:p w:rsidR="000C3F72" w:rsidRDefault="000C3F72" w:rsidP="00570F96">
      <w:pPr>
        <w:pStyle w:val="a3"/>
        <w:widowControl w:val="0"/>
        <w:numPr>
          <w:ilvl w:val="0"/>
          <w:numId w:val="2"/>
        </w:numPr>
        <w:tabs>
          <w:tab w:val="left" w:pos="993"/>
        </w:tabs>
        <w:spacing w:line="360" w:lineRule="auto"/>
        <w:ind w:left="0" w:firstLine="709"/>
        <w:jc w:val="both"/>
        <w:rPr>
          <w:rFonts w:ascii="Times New Roman" w:hAnsi="Times New Roman" w:cs="Times New Roman"/>
          <w:lang w:val="uk-UA"/>
        </w:rPr>
      </w:pPr>
      <w:r w:rsidRPr="000C3F72">
        <w:rPr>
          <w:rFonts w:ascii="Times New Roman" w:hAnsi="Times New Roman" w:cs="Times New Roman"/>
          <w:lang w:val="uk-UA"/>
        </w:rPr>
        <w:t xml:space="preserve">Про затвердження Критеріїв ризику легалізації (відмивання) доходів, одержаних злочинним шляхом, фінансування тероризму, фінансування розповсюдження зброї масового знищення: Наказ Міністерства фінансів України </w:t>
      </w:r>
      <w:r w:rsidRPr="005B7E30">
        <w:rPr>
          <w:rFonts w:ascii="Times New Roman" w:hAnsi="Times New Roman" w:cs="Times New Roman"/>
          <w:lang w:val="uk-UA"/>
        </w:rPr>
        <w:t xml:space="preserve">від 08.07.2016 №584: [Електронний  ресурс].  –  Режим доступу:  </w:t>
      </w:r>
      <w:hyperlink r:id="rId5" w:history="1">
        <w:r w:rsidR="007E40CF" w:rsidRPr="005B7E30">
          <w:rPr>
            <w:rStyle w:val="a4"/>
            <w:rFonts w:ascii="Times New Roman" w:hAnsi="Times New Roman" w:cs="Times New Roman"/>
            <w:color w:val="auto"/>
            <w:u w:val="none"/>
            <w:lang w:val="uk-UA"/>
          </w:rPr>
          <w:t>http://zakon2.rada.gov.ua/laws/show/z1047-16</w:t>
        </w:r>
      </w:hyperlink>
      <w:r w:rsidRPr="005B7E30">
        <w:rPr>
          <w:rFonts w:ascii="Times New Roman" w:hAnsi="Times New Roman" w:cs="Times New Roman"/>
          <w:lang w:val="uk-UA"/>
        </w:rPr>
        <w:t>.</w:t>
      </w:r>
    </w:p>
    <w:p w:rsidR="007E40CF" w:rsidRDefault="007E40CF" w:rsidP="007E40CF">
      <w:pPr>
        <w:pStyle w:val="a3"/>
        <w:widowControl w:val="0"/>
        <w:tabs>
          <w:tab w:val="left" w:pos="993"/>
        </w:tabs>
        <w:spacing w:line="360" w:lineRule="auto"/>
        <w:ind w:left="709"/>
        <w:jc w:val="both"/>
        <w:rPr>
          <w:rFonts w:ascii="Times New Roman" w:hAnsi="Times New Roman" w:cs="Times New Roman"/>
          <w:lang w:val="uk-UA"/>
        </w:rPr>
      </w:pPr>
    </w:p>
    <w:p w:rsidR="007E40CF" w:rsidRDefault="007E40CF" w:rsidP="007E40CF">
      <w:pPr>
        <w:pStyle w:val="a3"/>
        <w:widowControl w:val="0"/>
        <w:tabs>
          <w:tab w:val="left" w:pos="993"/>
        </w:tabs>
        <w:spacing w:line="360" w:lineRule="auto"/>
        <w:ind w:left="709"/>
        <w:jc w:val="both"/>
        <w:rPr>
          <w:rFonts w:ascii="Times New Roman" w:hAnsi="Times New Roman" w:cs="Times New Roman"/>
          <w:lang w:val="uk-UA"/>
        </w:rPr>
      </w:pPr>
    </w:p>
    <w:sectPr w:rsidR="007E40CF" w:rsidSect="00DE75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F5BA4"/>
    <w:multiLevelType w:val="hybridMultilevel"/>
    <w:tmpl w:val="6972B6C0"/>
    <w:lvl w:ilvl="0" w:tplc="3F3A14DA">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0C1909"/>
    <w:multiLevelType w:val="hybridMultilevel"/>
    <w:tmpl w:val="46A6D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FF"/>
    <w:rsid w:val="00007948"/>
    <w:rsid w:val="000C3F72"/>
    <w:rsid w:val="00210AE4"/>
    <w:rsid w:val="00315AF8"/>
    <w:rsid w:val="003D3718"/>
    <w:rsid w:val="004B25A6"/>
    <w:rsid w:val="00570F96"/>
    <w:rsid w:val="0058318C"/>
    <w:rsid w:val="005B7E30"/>
    <w:rsid w:val="005F6BA4"/>
    <w:rsid w:val="006B2BCF"/>
    <w:rsid w:val="007A308F"/>
    <w:rsid w:val="007C5A26"/>
    <w:rsid w:val="007E40CF"/>
    <w:rsid w:val="007F3626"/>
    <w:rsid w:val="00A40465"/>
    <w:rsid w:val="00A93D67"/>
    <w:rsid w:val="00BA7BA7"/>
    <w:rsid w:val="00BD5DD0"/>
    <w:rsid w:val="00DE7541"/>
    <w:rsid w:val="00E638A9"/>
    <w:rsid w:val="00F561FF"/>
    <w:rsid w:val="00FA4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3428D-A2EA-460F-A912-FAF06AA2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718"/>
    <w:pPr>
      <w:ind w:left="720"/>
      <w:contextualSpacing/>
    </w:pPr>
  </w:style>
  <w:style w:type="character" w:styleId="a4">
    <w:name w:val="Hyperlink"/>
    <w:basedOn w:val="a0"/>
    <w:uiPriority w:val="99"/>
    <w:unhideWhenUsed/>
    <w:rsid w:val="007E4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z1047-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5</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Алеся</cp:lastModifiedBy>
  <cp:revision>18</cp:revision>
  <dcterms:created xsi:type="dcterms:W3CDTF">2017-11-10T15:46:00Z</dcterms:created>
  <dcterms:modified xsi:type="dcterms:W3CDTF">2017-12-21T17:46:00Z</dcterms:modified>
</cp:coreProperties>
</file>